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165"/>
      </w:tblGrid>
      <w:tr w:rsidR="006575F4" w:rsidRPr="00C32892" w14:paraId="385F5CB6" w14:textId="77777777" w:rsidTr="00FF7950">
        <w:trPr>
          <w:trHeight w:val="5656"/>
        </w:trPr>
        <w:tc>
          <w:tcPr>
            <w:tcW w:w="3047" w:type="dxa"/>
            <w:tcBorders>
              <w:top w:val="single" w:sz="6" w:space="0" w:color="000000"/>
            </w:tcBorders>
          </w:tcPr>
          <w:p w14:paraId="3215BB62" w14:textId="1D1B24C2" w:rsidR="00CF6E93" w:rsidRDefault="00CF6E93" w:rsidP="006575F4">
            <w:pPr>
              <w:rPr>
                <w:rFonts w:cs="Arial"/>
                <w:sz w:val="22"/>
                <w:szCs w:val="22"/>
              </w:rPr>
            </w:pPr>
            <w:bookmarkStart w:id="0" w:name="_Hlk320014198"/>
            <w:bookmarkStart w:id="1" w:name="_Hlk331421044"/>
          </w:p>
          <w:p w14:paraId="06C27EAA" w14:textId="10C0C6F9" w:rsidR="00CF6E93" w:rsidRPr="00C32892" w:rsidRDefault="00CF6E93" w:rsidP="00657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6" w:space="0" w:color="000000"/>
            </w:tcBorders>
          </w:tcPr>
          <w:p w14:paraId="6E81EDFC" w14:textId="77777777" w:rsidR="00B04CA6" w:rsidRDefault="00B04CA6" w:rsidP="00D350E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 </w:t>
            </w:r>
          </w:p>
          <w:p w14:paraId="0993DF86" w14:textId="1E96DFF9" w:rsidR="00B04CA6" w:rsidRDefault="00B04CA6" w:rsidP="00D350E5">
            <w:pPr>
              <w:rPr>
                <w:rFonts w:cs="Arial"/>
                <w:sz w:val="22"/>
                <w:szCs w:val="22"/>
              </w:rPr>
            </w:pPr>
          </w:p>
          <w:p w14:paraId="08F2DEA4" w14:textId="77777777" w:rsidR="00B04CA6" w:rsidRDefault="00B04CA6" w:rsidP="00D350E5">
            <w:pPr>
              <w:rPr>
                <w:rFonts w:cs="Arial"/>
                <w:sz w:val="22"/>
                <w:szCs w:val="22"/>
              </w:rPr>
            </w:pPr>
          </w:p>
          <w:p w14:paraId="6853ED94" w14:textId="355DDD06" w:rsidR="00B04CA6" w:rsidRDefault="00DA6C8C" w:rsidP="00D350E5">
            <w:pPr>
              <w:rPr>
                <w:rFonts w:cs="Arial"/>
                <w:sz w:val="22"/>
                <w:szCs w:val="22"/>
              </w:rPr>
            </w:pPr>
            <w:r>
              <w:rPr>
                <w:rFonts w:ascii="Abadi MT Condensed Extra Bold" w:hAnsi="Abadi MT Condensed Extra Bold" w:cs="Arial"/>
                <w:b/>
                <w:noProof/>
                <w:sz w:val="72"/>
                <w:szCs w:val="72"/>
              </w:rPr>
              <w:drawing>
                <wp:inline distT="0" distB="0" distL="0" distR="0" wp14:anchorId="0B2C0BE7" wp14:editId="6CF51202">
                  <wp:extent cx="2064561" cy="869950"/>
                  <wp:effectExtent l="0" t="0" r="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HEILOO-PVDA_Hoge_resoluti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3" cy="91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E22D9" w14:textId="4E9DF5D4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5D1BE819" w14:textId="77777777" w:rsidR="006575F4" w:rsidRDefault="006575F4" w:rsidP="00FF7950">
            <w:pPr>
              <w:rPr>
                <w:rFonts w:cs="Arial"/>
                <w:sz w:val="22"/>
                <w:szCs w:val="22"/>
              </w:rPr>
            </w:pPr>
          </w:p>
          <w:p w14:paraId="12A3FE4C" w14:textId="77777777" w:rsidR="00B04CA6" w:rsidRPr="00C32892" w:rsidRDefault="00B04CA6" w:rsidP="00FF7950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bookmarkEnd w:id="1"/>
    </w:tbl>
    <w:p w14:paraId="3D748750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26"/>
      </w:tblGrid>
      <w:tr w:rsidR="006575F4" w:rsidRPr="00C32892" w14:paraId="06F5FBD8" w14:textId="77777777" w:rsidTr="00D350E5">
        <w:tc>
          <w:tcPr>
            <w:tcW w:w="9212" w:type="dxa"/>
            <w:tcBorders>
              <w:bottom w:val="single" w:sz="6" w:space="0" w:color="008000"/>
            </w:tcBorders>
          </w:tcPr>
          <w:p w14:paraId="3A77CFB2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167AC05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32892">
              <w:rPr>
                <w:rFonts w:cs="Arial"/>
                <w:b/>
                <w:bCs/>
                <w:sz w:val="22"/>
                <w:szCs w:val="22"/>
              </w:rPr>
              <w:t>MOTIE</w:t>
            </w:r>
          </w:p>
          <w:p w14:paraId="213EF2D1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5CB3EA0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p w14:paraId="012E3999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9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4"/>
        <w:gridCol w:w="6298"/>
      </w:tblGrid>
      <w:tr w:rsidR="006575F4" w:rsidRPr="00C32892" w14:paraId="720A7F28" w14:textId="77777777" w:rsidTr="0053132F">
        <w:tc>
          <w:tcPr>
            <w:tcW w:w="2914" w:type="dxa"/>
            <w:tcBorders>
              <w:bottom w:val="single" w:sz="12" w:space="0" w:color="000000"/>
            </w:tcBorders>
          </w:tcPr>
          <w:p w14:paraId="65646245" w14:textId="77777777" w:rsidR="006575F4" w:rsidRPr="00CF6E93" w:rsidRDefault="00CF6E93" w:rsidP="00D350E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E93">
              <w:rPr>
                <w:rFonts w:cs="Arial"/>
                <w:b/>
                <w:bCs/>
                <w:sz w:val="22"/>
                <w:szCs w:val="22"/>
              </w:rPr>
              <w:t>Motie bij:</w:t>
            </w:r>
          </w:p>
          <w:p w14:paraId="571ADA0B" w14:textId="77777777" w:rsidR="00CF6E93" w:rsidRPr="00CF6E93" w:rsidRDefault="00CF6E93" w:rsidP="00D350E5">
            <w:pPr>
              <w:rPr>
                <w:rFonts w:cs="Arial"/>
                <w:bCs/>
                <w:color w:val="000080"/>
                <w:sz w:val="16"/>
                <w:szCs w:val="16"/>
              </w:rPr>
            </w:pPr>
            <w:r w:rsidRPr="00CF6E93">
              <w:rPr>
                <w:rFonts w:cs="Arial"/>
                <w:bCs/>
                <w:sz w:val="16"/>
                <w:szCs w:val="16"/>
              </w:rPr>
              <w:t>(in te vullen door griffie)</w:t>
            </w:r>
          </w:p>
        </w:tc>
        <w:tc>
          <w:tcPr>
            <w:tcW w:w="6298" w:type="dxa"/>
            <w:tcBorders>
              <w:bottom w:val="single" w:sz="12" w:space="0" w:color="000000"/>
            </w:tcBorders>
          </w:tcPr>
          <w:p w14:paraId="3C2BA94B" w14:textId="77777777" w:rsidR="006575F4" w:rsidRPr="00A24582" w:rsidRDefault="00CF6E93" w:rsidP="00A245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24582">
              <w:rPr>
                <w:b/>
                <w:bCs/>
              </w:rPr>
              <w:t>Aangeven op welk voorstel of agendapunt deze motie betrekking heeft of motie vreemd aan de orde van de dag</w:t>
            </w:r>
          </w:p>
        </w:tc>
      </w:tr>
      <w:tr w:rsidR="006575F4" w:rsidRPr="00C32892" w14:paraId="2CD204BD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17BD045D" w14:textId="77777777" w:rsidR="006575F4" w:rsidRPr="00CF6E93" w:rsidRDefault="00CF6E93" w:rsidP="00D350E5">
            <w:pPr>
              <w:pStyle w:val="Kop2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Onderwerp</w:t>
            </w: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495D2DBD" w14:textId="77777777" w:rsidR="00CF6E93" w:rsidRPr="00A24582" w:rsidRDefault="00CF6E93" w:rsidP="00D350E5">
            <w:pPr>
              <w:rPr>
                <w:rFonts w:cs="Arial"/>
                <w:sz w:val="22"/>
                <w:szCs w:val="22"/>
              </w:rPr>
            </w:pPr>
          </w:p>
          <w:p w14:paraId="0E995EAE" w14:textId="652E94C3" w:rsidR="006575F4" w:rsidRPr="00A24582" w:rsidRDefault="00AF6384" w:rsidP="001E01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C076D6">
              <w:rPr>
                <w:rFonts w:cs="Arial"/>
                <w:sz w:val="22"/>
                <w:szCs w:val="22"/>
              </w:rPr>
              <w:t>inanciële steun voor huishoudens met energiearmoede</w:t>
            </w:r>
          </w:p>
        </w:tc>
      </w:tr>
      <w:tr w:rsidR="006575F4" w:rsidRPr="00C32892" w14:paraId="5D5F38E8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100CA419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  <w:r w:rsidRPr="00C32892">
              <w:rPr>
                <w:rFonts w:cs="Arial"/>
                <w:sz w:val="22"/>
                <w:szCs w:val="22"/>
              </w:rPr>
              <w:t>Aanhef</w:t>
            </w: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500019F7" w14:textId="6789EEDA" w:rsidR="006575F4" w:rsidRDefault="006575F4" w:rsidP="00D350E5">
            <w:pPr>
              <w:rPr>
                <w:rFonts w:cs="Arial"/>
                <w:sz w:val="22"/>
                <w:szCs w:val="22"/>
              </w:rPr>
            </w:pPr>
            <w:r w:rsidRPr="00A24582">
              <w:rPr>
                <w:rFonts w:cs="Arial"/>
                <w:sz w:val="22"/>
                <w:szCs w:val="22"/>
              </w:rPr>
              <w:t xml:space="preserve">De raad van de gemeente </w:t>
            </w:r>
            <w:r w:rsidR="00B76F89" w:rsidRPr="00A24582">
              <w:rPr>
                <w:rFonts w:cs="Arial"/>
                <w:sz w:val="22"/>
                <w:szCs w:val="22"/>
              </w:rPr>
              <w:t>Heiloo</w:t>
            </w:r>
            <w:r w:rsidRPr="00A24582">
              <w:rPr>
                <w:rFonts w:cs="Arial"/>
                <w:sz w:val="22"/>
                <w:szCs w:val="22"/>
              </w:rPr>
              <w:t xml:space="preserve"> in vergadering bijeen op</w:t>
            </w:r>
            <w:r w:rsidR="00CF6E93" w:rsidRPr="00A24582">
              <w:rPr>
                <w:rFonts w:cs="Arial"/>
                <w:sz w:val="22"/>
                <w:szCs w:val="22"/>
              </w:rPr>
              <w:t xml:space="preserve"> </w:t>
            </w:r>
            <w:r w:rsidR="00D83F91">
              <w:rPr>
                <w:rFonts w:cs="Arial"/>
                <w:sz w:val="22"/>
                <w:szCs w:val="22"/>
              </w:rPr>
              <w:t>6 december 2021</w:t>
            </w:r>
          </w:p>
          <w:p w14:paraId="2EF0EC21" w14:textId="02A1EDA4" w:rsidR="00A24582" w:rsidRPr="00A24582" w:rsidRDefault="00A24582" w:rsidP="00D350E5">
            <w:pPr>
              <w:rPr>
                <w:rFonts w:cs="Arial"/>
                <w:sz w:val="22"/>
                <w:szCs w:val="22"/>
              </w:rPr>
            </w:pPr>
          </w:p>
          <w:p w14:paraId="6B9F67D5" w14:textId="77777777" w:rsidR="006575F4" w:rsidRPr="00A2458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32892" w14:paraId="0EEAFB06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29171717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  <w:r w:rsidRPr="00C32892">
              <w:rPr>
                <w:rFonts w:cs="Arial"/>
                <w:sz w:val="22"/>
                <w:szCs w:val="22"/>
              </w:rPr>
              <w:t>Inhoud</w:t>
            </w:r>
          </w:p>
          <w:p w14:paraId="75DD9C07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51B7AE1B" w14:textId="77777777" w:rsidR="006575F4" w:rsidRPr="00C32892" w:rsidRDefault="006575F4" w:rsidP="00C77211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781BD56F" w14:textId="0BC2F7D1" w:rsidR="00CF6E93" w:rsidRDefault="00CF6E93" w:rsidP="00D350E5">
            <w:pPr>
              <w:rPr>
                <w:rFonts w:cs="Arial"/>
                <w:sz w:val="22"/>
                <w:szCs w:val="22"/>
              </w:rPr>
            </w:pPr>
          </w:p>
          <w:p w14:paraId="436E329D" w14:textId="034607E3" w:rsidR="001E0184" w:rsidRDefault="00A474DC" w:rsidP="001E0184">
            <w:r>
              <w:t>We c</w:t>
            </w:r>
            <w:r w:rsidR="001E0184">
              <w:t>onstateren</w:t>
            </w:r>
            <w:r>
              <w:t xml:space="preserve"> het volgende</w:t>
            </w:r>
            <w:r w:rsidR="001E0184">
              <w:t xml:space="preserve">: </w:t>
            </w:r>
          </w:p>
          <w:p w14:paraId="3998E78A" w14:textId="64BA970E" w:rsidR="001E0184" w:rsidRPr="006E2106" w:rsidRDefault="001E0184" w:rsidP="00DF4B61">
            <w:pPr>
              <w:pStyle w:val="Lijstalinea"/>
              <w:numPr>
                <w:ilvl w:val="0"/>
                <w:numId w:val="9"/>
              </w:numPr>
            </w:pPr>
            <w:r>
              <w:t xml:space="preserve">Door de snel stijgende energieprijzen </w:t>
            </w:r>
            <w:r w:rsidR="00A474DC">
              <w:t xml:space="preserve">dreigen </w:t>
            </w:r>
            <w:r>
              <w:t xml:space="preserve">veel huishoudens </w:t>
            </w:r>
            <w:r w:rsidRPr="006E2106">
              <w:t>in Nederland in de problemen te raken, en dit geld</w:t>
            </w:r>
            <w:r w:rsidR="00A474DC" w:rsidRPr="006E2106">
              <w:t>t</w:t>
            </w:r>
            <w:r w:rsidRPr="006E2106">
              <w:t xml:space="preserve"> </w:t>
            </w:r>
            <w:r w:rsidR="00D21BF7" w:rsidRPr="006E2106">
              <w:t xml:space="preserve">ook </w:t>
            </w:r>
            <w:r w:rsidRPr="006E2106">
              <w:t xml:space="preserve">voor </w:t>
            </w:r>
            <w:r w:rsidR="00DF7904" w:rsidRPr="006E2106">
              <w:t>een deel van de</w:t>
            </w:r>
            <w:r w:rsidR="007514C3" w:rsidRPr="006E2106">
              <w:t xml:space="preserve"> </w:t>
            </w:r>
            <w:r w:rsidRPr="006E2106">
              <w:t>huishoudens in Heiloo.</w:t>
            </w:r>
          </w:p>
          <w:p w14:paraId="5AFBA309" w14:textId="1B4BFD76" w:rsidR="00F7212B" w:rsidRPr="006E2106" w:rsidRDefault="00F7212B" w:rsidP="00DF4B61">
            <w:pPr>
              <w:pStyle w:val="Lijstalinea"/>
              <w:numPr>
                <w:ilvl w:val="0"/>
                <w:numId w:val="9"/>
              </w:numPr>
            </w:pPr>
            <w:r w:rsidRPr="006E2106">
              <w:t xml:space="preserve">In Heiloo berekent </w:t>
            </w:r>
            <w:hyperlink r:id="rId8" w:history="1">
              <w:r w:rsidRPr="006E2106">
                <w:rPr>
                  <w:rStyle w:val="Hyperlink"/>
                </w:rPr>
                <w:t>TNO</w:t>
              </w:r>
            </w:hyperlink>
            <w:r w:rsidRPr="006E2106">
              <w:t xml:space="preserve"> het hoogste percentage en</w:t>
            </w:r>
            <w:r w:rsidR="006E2106">
              <w:t>e</w:t>
            </w:r>
            <w:r w:rsidRPr="006E2106">
              <w:t>rgie</w:t>
            </w:r>
            <w:r w:rsidR="006E2106">
              <w:t>-</w:t>
            </w:r>
            <w:r w:rsidRPr="006E2106">
              <w:t>armoede in de stationsomgeving (4,38% van de huishoudens wordt hier gedefinieerd als energiearm; het gaat in de stationsomgeving om circa 130 huishoudens).</w:t>
            </w:r>
          </w:p>
          <w:p w14:paraId="12B5C6C2" w14:textId="448EF37C" w:rsidR="00DF7904" w:rsidRPr="006E2106" w:rsidRDefault="001E0184" w:rsidP="000F064E">
            <w:pPr>
              <w:pStyle w:val="Lijstalinea"/>
              <w:numPr>
                <w:ilvl w:val="0"/>
                <w:numId w:val="9"/>
              </w:numPr>
            </w:pPr>
            <w:r w:rsidRPr="006E2106">
              <w:t>De kabinetsmaatregelen om stijgende energiekosten te compenseren</w:t>
            </w:r>
            <w:r w:rsidR="00A474DC" w:rsidRPr="006E2106">
              <w:t xml:space="preserve"> zijn</w:t>
            </w:r>
            <w:r w:rsidR="00A56A9D" w:rsidRPr="006E2106">
              <w:t xml:space="preserve"> generieke maatregelen</w:t>
            </w:r>
            <w:r w:rsidR="00A474DC" w:rsidRPr="006E2106">
              <w:t>,</w:t>
            </w:r>
            <w:r w:rsidR="00A56A9D" w:rsidRPr="006E2106">
              <w:t xml:space="preserve"> die niet gericht zijn op</w:t>
            </w:r>
            <w:r w:rsidRPr="006E2106">
              <w:t xml:space="preserve"> huishoudens met een kleine portemonnee.</w:t>
            </w:r>
            <w:r w:rsidR="0050582A" w:rsidRPr="006E2106">
              <w:t xml:space="preserve"> (Zie: Joost </w:t>
            </w:r>
            <w:proofErr w:type="spellStart"/>
            <w:r w:rsidR="0050582A" w:rsidRPr="006E2106">
              <w:t>Greunsven</w:t>
            </w:r>
            <w:proofErr w:type="spellEnd"/>
            <w:r w:rsidR="0050582A" w:rsidRPr="006E2106">
              <w:t xml:space="preserve"> en Martien Visser (2021). </w:t>
            </w:r>
            <w:hyperlink r:id="rId9" w:history="1">
              <w:r w:rsidR="00117998" w:rsidRPr="006E2106">
                <w:rPr>
                  <w:rStyle w:val="Hyperlink"/>
                  <w:i/>
                  <w:iCs/>
                </w:rPr>
                <w:t>Iedereen compenseren is niemand compenseren</w:t>
              </w:r>
            </w:hyperlink>
            <w:r w:rsidR="0050582A" w:rsidRPr="006E2106">
              <w:t xml:space="preserve">, </w:t>
            </w:r>
            <w:proofErr w:type="spellStart"/>
            <w:r w:rsidR="0050582A" w:rsidRPr="006E2106">
              <w:t>Energeia</w:t>
            </w:r>
            <w:proofErr w:type="spellEnd"/>
            <w:r w:rsidR="0050582A" w:rsidRPr="006E2106">
              <w:t>, 15 november 2021.)</w:t>
            </w:r>
          </w:p>
          <w:p w14:paraId="2F417A71" w14:textId="77777777" w:rsidR="00DF7904" w:rsidRDefault="001E0184" w:rsidP="00DF4B61">
            <w:pPr>
              <w:pStyle w:val="Lijstalinea"/>
              <w:numPr>
                <w:ilvl w:val="0"/>
                <w:numId w:val="9"/>
              </w:numPr>
            </w:pPr>
            <w:r w:rsidRPr="006E2106">
              <w:t xml:space="preserve">Het kabinet </w:t>
            </w:r>
            <w:r w:rsidR="00A474DC" w:rsidRPr="006E2106">
              <w:t xml:space="preserve">heeft </w:t>
            </w:r>
            <w:r w:rsidRPr="006E2106">
              <w:t>€ 150 miljoen euro</w:t>
            </w:r>
            <w:r>
              <w:t xml:space="preserve"> gereserveerd om kwetsbare huishoudens met een hoge energierekening en/of een slechte energetische staat van hun woning te ondersteunen via gemeenten.</w:t>
            </w:r>
          </w:p>
          <w:p w14:paraId="7E0312A5" w14:textId="77777777" w:rsidR="00DF7904" w:rsidRDefault="00DF7904" w:rsidP="00DF4B61">
            <w:pPr>
              <w:pStyle w:val="Lijstalinea"/>
              <w:numPr>
                <w:ilvl w:val="0"/>
                <w:numId w:val="9"/>
              </w:numPr>
            </w:pPr>
            <w:r>
              <w:lastRenderedPageBreak/>
              <w:t>De Provinciale Staten Noord-Holland hebben op 8 november 2021 een motie aangenomen om gemeenten te ondersteunen bij het bestrijden van energiearmoede.</w:t>
            </w:r>
          </w:p>
          <w:p w14:paraId="1EFDEFF3" w14:textId="19BF7FAE" w:rsidR="006575F4" w:rsidRPr="00DF7904" w:rsidRDefault="006575F4" w:rsidP="00DF7904">
            <w:pPr>
              <w:pStyle w:val="Lijstalinea"/>
              <w:ind w:left="360"/>
            </w:pPr>
          </w:p>
        </w:tc>
      </w:tr>
      <w:tr w:rsidR="006575F4" w:rsidRPr="00C32892" w14:paraId="766F2AC2" w14:textId="77777777" w:rsidTr="0053132F"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 w14:paraId="67ACBC11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  <w:r w:rsidRPr="00C32892">
              <w:rPr>
                <w:rFonts w:cs="Arial"/>
                <w:sz w:val="22"/>
                <w:szCs w:val="22"/>
              </w:rPr>
              <w:lastRenderedPageBreak/>
              <w:t>Conclusie</w:t>
            </w:r>
          </w:p>
          <w:p w14:paraId="68B7BC6D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0BC03840" w14:textId="77777777" w:rsidR="006575F4" w:rsidRPr="00C32892" w:rsidRDefault="006575F4" w:rsidP="007B086B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6298" w:type="dxa"/>
            <w:tcBorders>
              <w:top w:val="single" w:sz="6" w:space="0" w:color="000000"/>
              <w:bottom w:val="single" w:sz="6" w:space="0" w:color="000000"/>
            </w:tcBorders>
          </w:tcPr>
          <w:p w14:paraId="60430B5A" w14:textId="43A327E2" w:rsidR="00514707" w:rsidRDefault="001272EB" w:rsidP="00514707">
            <w:pPr>
              <w:rPr>
                <w:rFonts w:cs="Arial"/>
                <w:szCs w:val="20"/>
              </w:rPr>
            </w:pPr>
            <w:r w:rsidRPr="002E3E8E">
              <w:rPr>
                <w:rFonts w:cs="Arial"/>
                <w:szCs w:val="20"/>
              </w:rPr>
              <w:t>De raa</w:t>
            </w:r>
            <w:r w:rsidR="007E457B" w:rsidRPr="002E3E8E">
              <w:rPr>
                <w:rFonts w:cs="Arial"/>
                <w:szCs w:val="20"/>
              </w:rPr>
              <w:t>d verzoekt het college</w:t>
            </w:r>
            <w:r w:rsidR="00514707">
              <w:rPr>
                <w:rFonts w:cs="Arial"/>
                <w:szCs w:val="20"/>
              </w:rPr>
              <w:t xml:space="preserve"> het volgende:</w:t>
            </w:r>
          </w:p>
          <w:p w14:paraId="272D63F1" w14:textId="49AA2FCE" w:rsidR="00514707" w:rsidRDefault="00514707" w:rsidP="00514707">
            <w:pPr>
              <w:rPr>
                <w:rFonts w:cs="Arial"/>
                <w:szCs w:val="20"/>
              </w:rPr>
            </w:pPr>
          </w:p>
          <w:p w14:paraId="187FFA4B" w14:textId="4EBF3B70" w:rsidR="00514707" w:rsidRDefault="005539EC" w:rsidP="00514707">
            <w:pPr>
              <w:pStyle w:val="Lijstalinea"/>
              <w:numPr>
                <w:ilvl w:val="0"/>
                <w:numId w:val="7"/>
              </w:numPr>
            </w:pPr>
            <w:r>
              <w:rPr>
                <w:rFonts w:cs="Arial"/>
              </w:rPr>
              <w:t>E</w:t>
            </w:r>
            <w:r w:rsidR="00755EAF">
              <w:t>en</w:t>
            </w:r>
            <w:r w:rsidR="00104C74">
              <w:t xml:space="preserve"> plan van aanpak op</w:t>
            </w:r>
            <w:r w:rsidR="00514707">
              <w:t xml:space="preserve"> te stellen</w:t>
            </w:r>
            <w:r w:rsidR="00104C74">
              <w:t xml:space="preserve"> om huishoudens in Heiloo</w:t>
            </w:r>
            <w:r w:rsidR="00DE1DC2">
              <w:t xml:space="preserve"> </w:t>
            </w:r>
            <w:r w:rsidR="009B1490">
              <w:t xml:space="preserve">financieel </w:t>
            </w:r>
            <w:r w:rsidR="00DE1DC2">
              <w:t>te ondersteunen die</w:t>
            </w:r>
            <w:r w:rsidR="00104C74">
              <w:t xml:space="preserve"> </w:t>
            </w:r>
            <w:r w:rsidR="00DE1DC2">
              <w:t>te maken hebben met energiearmoede</w:t>
            </w:r>
            <w:r w:rsidR="009B1490">
              <w:t xml:space="preserve">. </w:t>
            </w:r>
          </w:p>
          <w:p w14:paraId="22CAF7DD" w14:textId="7582715C" w:rsidR="00DE1DC2" w:rsidRDefault="00514707" w:rsidP="005539EC">
            <w:pPr>
              <w:pStyle w:val="Lijstalinea"/>
              <w:numPr>
                <w:ilvl w:val="1"/>
                <w:numId w:val="5"/>
              </w:numPr>
            </w:pPr>
            <w:r>
              <w:t xml:space="preserve">Hierbij wordt de definitie van ‘energiearmoede’ gebruikt van het </w:t>
            </w:r>
            <w:hyperlink r:id="rId10" w:history="1">
              <w:r w:rsidRPr="00514707">
                <w:rPr>
                  <w:rStyle w:val="Hyperlink"/>
                </w:rPr>
                <w:t>Nibud</w:t>
              </w:r>
            </w:hyperlink>
            <w:r>
              <w:t>.</w:t>
            </w:r>
          </w:p>
          <w:p w14:paraId="36299EF6" w14:textId="77777777" w:rsidR="005539EC" w:rsidRDefault="00DF7904" w:rsidP="005539EC">
            <w:pPr>
              <w:pStyle w:val="Lijstalinea"/>
              <w:numPr>
                <w:ilvl w:val="1"/>
                <w:numId w:val="5"/>
              </w:numPr>
            </w:pPr>
            <w:r>
              <w:t>Hier</w:t>
            </w:r>
            <w:r w:rsidR="00514707">
              <w:t>voor</w:t>
            </w:r>
            <w:r>
              <w:t xml:space="preserve"> wordt o</w:t>
            </w:r>
            <w:r w:rsidR="00755EAF">
              <w:t>nderzocht</w:t>
            </w:r>
            <w:r w:rsidR="00104C74">
              <w:t xml:space="preserve"> of bij de bestrijding van energiearmoede de bijzondere bijstand benut</w:t>
            </w:r>
            <w:r w:rsidR="00755EAF">
              <w:t xml:space="preserve"> kan worden</w:t>
            </w:r>
            <w:r w:rsidR="00104C74">
              <w:t xml:space="preserve"> om inwoners</w:t>
            </w:r>
            <w:r w:rsidR="00514707">
              <w:t xml:space="preserve"> van Heiloo</w:t>
            </w:r>
            <w:r w:rsidR="00104C74">
              <w:t xml:space="preserve"> te compenseren voor de stijgende energiekosten. </w:t>
            </w:r>
          </w:p>
          <w:p w14:paraId="7FF19B90" w14:textId="29798680" w:rsidR="007E457B" w:rsidRDefault="007E457B" w:rsidP="005539EC">
            <w:pPr>
              <w:pStyle w:val="Lijstalinea"/>
              <w:numPr>
                <w:ilvl w:val="0"/>
                <w:numId w:val="7"/>
              </w:numPr>
            </w:pPr>
            <w:r>
              <w:t xml:space="preserve">Bij de </w:t>
            </w:r>
            <w:proofErr w:type="spellStart"/>
            <w:r>
              <w:t>vroegsignalering</w:t>
            </w:r>
            <w:proofErr w:type="spellEnd"/>
            <w:r>
              <w:t xml:space="preserve"> in het kader van de schuldenaanpak specifiek </w:t>
            </w:r>
            <w:r w:rsidR="00514707">
              <w:t xml:space="preserve">te letten </w:t>
            </w:r>
            <w:r>
              <w:t xml:space="preserve">op de gevolgen van de hogere energieprijzen. </w:t>
            </w:r>
          </w:p>
          <w:p w14:paraId="3AB96BF3" w14:textId="31223635" w:rsidR="006575F4" w:rsidRPr="00A24582" w:rsidRDefault="006575F4" w:rsidP="00DF7904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32892" w14:paraId="6F06DBD3" w14:textId="77777777" w:rsidTr="0053132F">
        <w:tc>
          <w:tcPr>
            <w:tcW w:w="2914" w:type="dxa"/>
            <w:tcBorders>
              <w:top w:val="single" w:sz="6" w:space="0" w:color="000000"/>
            </w:tcBorders>
          </w:tcPr>
          <w:p w14:paraId="21C83A62" w14:textId="77777777" w:rsidR="006575F4" w:rsidRPr="00C32892" w:rsidRDefault="00CF6E93" w:rsidP="00D350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Indieners (fractie en naam)</w:t>
            </w:r>
          </w:p>
        </w:tc>
        <w:tc>
          <w:tcPr>
            <w:tcW w:w="6298" w:type="dxa"/>
            <w:tcBorders>
              <w:top w:val="single" w:sz="6" w:space="0" w:color="000000"/>
            </w:tcBorders>
          </w:tcPr>
          <w:p w14:paraId="19747647" w14:textId="77777777" w:rsidR="006575F4" w:rsidRPr="00A2458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23EA4FDF" w14:textId="77777777" w:rsidR="006575F4" w:rsidRPr="00A2458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2C283B" w14:textId="77777777" w:rsidR="00CF6E93" w:rsidRPr="00F36119" w:rsidRDefault="00CF6E93" w:rsidP="00CF6E93">
      <w:pPr>
        <w:rPr>
          <w:i/>
          <w:color w:val="7030A0"/>
        </w:rPr>
      </w:pPr>
    </w:p>
    <w:tbl>
      <w:tblPr>
        <w:tblStyle w:val="Lichtelijst-accent3"/>
        <w:tblW w:w="0" w:type="auto"/>
        <w:tblLook w:val="0620" w:firstRow="1" w:lastRow="0" w:firstColumn="0" w:lastColumn="0" w:noHBand="1" w:noVBand="1"/>
      </w:tblPr>
      <w:tblGrid>
        <w:gridCol w:w="1655"/>
        <w:gridCol w:w="846"/>
        <w:gridCol w:w="778"/>
        <w:gridCol w:w="916"/>
      </w:tblGrid>
      <w:tr w:rsidR="007958A2" w:rsidRPr="008D716D" w14:paraId="5C1FF2F8" w14:textId="77777777" w:rsidTr="00E25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4" w:space="0" w:color="auto"/>
            </w:tcBorders>
          </w:tcPr>
          <w:p w14:paraId="3A1065EE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 xml:space="preserve">Fractie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3371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zetels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05998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V00R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E02CB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TEGEN</w:t>
            </w:r>
          </w:p>
        </w:tc>
      </w:tr>
      <w:tr w:rsidR="007958A2" w:rsidRPr="008D716D" w14:paraId="3EA2CD00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E6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VVD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F0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079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5E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1A1922F8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EB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GBH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69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E18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B4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64A093C5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C37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H2000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B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DB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E0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22E321CC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35D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D66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F1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BB1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E9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2F08CD50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683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CDA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3C4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9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E7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00014CC1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70E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PvdA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1D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26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B30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5A6D026B" w14:textId="77777777" w:rsidTr="00E25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332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 w:rsidRPr="008D716D">
              <w:rPr>
                <w:rFonts w:ascii="Lucida Sans Unicode" w:hAnsi="Lucida Sans Unicode"/>
                <w:szCs w:val="22"/>
              </w:rPr>
              <w:t>Heiloo Lokaal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03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  <w:r>
              <w:rPr>
                <w:rFonts w:ascii="Lucida Sans Unicode" w:hAnsi="Lucida Sans Unicode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B8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EEB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8D716D" w14:paraId="3DC696EF" w14:textId="77777777" w:rsidTr="00E25A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02B3CA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  <w:r w:rsidRPr="008D716D">
              <w:rPr>
                <w:rFonts w:ascii="Lucida Sans Unicode" w:hAnsi="Lucida Sans Unicode"/>
                <w:b/>
                <w:szCs w:val="22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B81BF5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  <w:r w:rsidRPr="008D716D">
              <w:rPr>
                <w:rFonts w:ascii="Lucida Sans Unicode" w:hAnsi="Lucida Sans Unicode"/>
                <w:b/>
                <w:szCs w:val="22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155C18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7AF99C" w14:textId="77777777" w:rsidR="007958A2" w:rsidRPr="008D716D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  <w:tr w:rsidR="007958A2" w:rsidRPr="00752380" w14:paraId="4234EBF8" w14:textId="77777777" w:rsidTr="00E25A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9930AF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ED6598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5F3EA6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F35C9D" w14:textId="77777777" w:rsidR="007958A2" w:rsidRPr="00752380" w:rsidRDefault="007958A2" w:rsidP="00E25A16">
            <w:pPr>
              <w:suppressAutoHyphens/>
              <w:rPr>
                <w:rFonts w:ascii="Lucida Sans Unicode" w:hAnsi="Lucida Sans Unicode"/>
                <w:szCs w:val="22"/>
              </w:rPr>
            </w:pPr>
          </w:p>
        </w:tc>
      </w:tr>
    </w:tbl>
    <w:p w14:paraId="034D6988" w14:textId="77777777" w:rsidR="001272EB" w:rsidRDefault="001272EB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</w:p>
    <w:p w14:paraId="4BD6311D" w14:textId="77777777" w:rsidR="00E20395" w:rsidRDefault="00E20395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  <w:r w:rsidRPr="00E20395">
        <w:rPr>
          <w:b/>
          <w:sz w:val="22"/>
          <w:szCs w:val="20"/>
        </w:rPr>
        <w:t>Ondertekend door de volgende fracties:</w:t>
      </w:r>
      <w:bookmarkStart w:id="2" w:name="OpenAt"/>
      <w:bookmarkEnd w:id="2"/>
    </w:p>
    <w:p w14:paraId="732713E7" w14:textId="77777777" w:rsidR="009B1C65" w:rsidRPr="00E20395" w:rsidRDefault="009B1C65" w:rsidP="00E20395">
      <w:pPr>
        <w:tabs>
          <w:tab w:val="left" w:pos="993"/>
        </w:tabs>
        <w:spacing w:line="360" w:lineRule="auto"/>
        <w:rPr>
          <w:b/>
          <w:sz w:val="22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919"/>
      </w:tblGrid>
      <w:tr w:rsidR="009B1C65" w:rsidRPr="00B77F39" w14:paraId="249FE7B0" w14:textId="77777777" w:rsidTr="003D3A8C">
        <w:tc>
          <w:tcPr>
            <w:tcW w:w="1555" w:type="dxa"/>
          </w:tcPr>
          <w:p w14:paraId="3D338B1D" w14:textId="77777777" w:rsidR="009B1C65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VVD</w:t>
            </w:r>
          </w:p>
          <w:p w14:paraId="7D6CBDA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4FB4EC56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6ADB8777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02E8D379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CDA</w:t>
            </w:r>
          </w:p>
        </w:tc>
        <w:tc>
          <w:tcPr>
            <w:tcW w:w="2919" w:type="dxa"/>
          </w:tcPr>
          <w:p w14:paraId="39058A85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112B3663" w14:textId="77777777" w:rsidTr="003D3A8C">
        <w:tc>
          <w:tcPr>
            <w:tcW w:w="1555" w:type="dxa"/>
          </w:tcPr>
          <w:p w14:paraId="25880D7A" w14:textId="77777777" w:rsidR="009B1C65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GBH</w:t>
            </w:r>
          </w:p>
          <w:p w14:paraId="6F79C02F" w14:textId="77777777" w:rsidR="009B1C65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2CCEB420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10E0FC94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22468226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PvdA</w:t>
            </w:r>
          </w:p>
        </w:tc>
        <w:tc>
          <w:tcPr>
            <w:tcW w:w="2919" w:type="dxa"/>
          </w:tcPr>
          <w:p w14:paraId="05FBB11E" w14:textId="77777777" w:rsidR="009B1C65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23C6800D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2CFDF40E" w14:textId="77777777" w:rsidTr="003D3A8C">
        <w:tc>
          <w:tcPr>
            <w:tcW w:w="1555" w:type="dxa"/>
          </w:tcPr>
          <w:p w14:paraId="41D22844" w14:textId="77777777" w:rsidR="009B1C65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Heiloo-2000</w:t>
            </w:r>
          </w:p>
          <w:p w14:paraId="365F8A4D" w14:textId="77777777" w:rsidR="007958A2" w:rsidRPr="00B77F39" w:rsidRDefault="007958A2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0A497E66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4082BB0A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724E3A02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 w:rsidRPr="00B77F39">
              <w:rPr>
                <w:rFonts w:cs="Arial Unicode MS"/>
                <w:color w:val="000000"/>
                <w:sz w:val="22"/>
                <w:szCs w:val="22"/>
                <w:u w:color="000000"/>
              </w:rPr>
              <w:t>Heiloo Lokaal</w:t>
            </w:r>
          </w:p>
        </w:tc>
        <w:tc>
          <w:tcPr>
            <w:tcW w:w="2919" w:type="dxa"/>
          </w:tcPr>
          <w:p w14:paraId="3E145497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9B1C65" w:rsidRPr="00B77F39" w14:paraId="24AD14EE" w14:textId="77777777" w:rsidTr="003D3A8C">
        <w:tc>
          <w:tcPr>
            <w:tcW w:w="1555" w:type="dxa"/>
          </w:tcPr>
          <w:p w14:paraId="258896B4" w14:textId="77777777" w:rsidR="009B1C65" w:rsidRPr="00B77F39" w:rsidRDefault="001A056F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D66</w:t>
            </w:r>
          </w:p>
          <w:p w14:paraId="040A342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  <w:p w14:paraId="167FC849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118" w:type="dxa"/>
          </w:tcPr>
          <w:p w14:paraId="3F33659F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418" w:type="dxa"/>
          </w:tcPr>
          <w:p w14:paraId="31CE5B15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919" w:type="dxa"/>
          </w:tcPr>
          <w:p w14:paraId="5488F1B2" w14:textId="77777777" w:rsidR="009B1C65" w:rsidRPr="00B77F39" w:rsidRDefault="009B1C65" w:rsidP="009B1C65">
            <w:pPr>
              <w:tabs>
                <w:tab w:val="left" w:pos="993"/>
              </w:tabs>
              <w:spacing w:line="360" w:lineRule="auto"/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1F08AB15" w14:textId="77777777" w:rsidR="00E20395" w:rsidRPr="00E20395" w:rsidRDefault="00E20395" w:rsidP="00E20395">
      <w:pPr>
        <w:tabs>
          <w:tab w:val="left" w:pos="993"/>
        </w:tabs>
        <w:spacing w:line="360" w:lineRule="auto"/>
        <w:rPr>
          <w:sz w:val="22"/>
          <w:szCs w:val="20"/>
        </w:rPr>
      </w:pPr>
    </w:p>
    <w:sectPr w:rsidR="00E20395" w:rsidRPr="00E20395" w:rsidSect="00FA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C3C8" w14:textId="77777777" w:rsidR="00612B72" w:rsidRDefault="00612B72" w:rsidP="0050582A">
      <w:r>
        <w:separator/>
      </w:r>
    </w:p>
  </w:endnote>
  <w:endnote w:type="continuationSeparator" w:id="0">
    <w:p w14:paraId="53C93696" w14:textId="77777777" w:rsidR="00612B72" w:rsidRDefault="00612B72" w:rsidP="005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2109" w14:textId="77777777" w:rsidR="00612B72" w:rsidRDefault="00612B72" w:rsidP="0050582A">
      <w:r>
        <w:separator/>
      </w:r>
    </w:p>
  </w:footnote>
  <w:footnote w:type="continuationSeparator" w:id="0">
    <w:p w14:paraId="75087303" w14:textId="77777777" w:rsidR="00612B72" w:rsidRDefault="00612B72" w:rsidP="0050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50C"/>
    <w:multiLevelType w:val="hybridMultilevel"/>
    <w:tmpl w:val="3A4E3FB8"/>
    <w:lvl w:ilvl="0" w:tplc="5DAE56F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377AC"/>
    <w:multiLevelType w:val="hybridMultilevel"/>
    <w:tmpl w:val="DF8CA180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A30"/>
    <w:multiLevelType w:val="hybridMultilevel"/>
    <w:tmpl w:val="8D265C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9F0"/>
    <w:multiLevelType w:val="hybridMultilevel"/>
    <w:tmpl w:val="CCC8D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7ED7"/>
    <w:multiLevelType w:val="hybridMultilevel"/>
    <w:tmpl w:val="C1BE2B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0A52"/>
    <w:multiLevelType w:val="hybridMultilevel"/>
    <w:tmpl w:val="EB8600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40EE6"/>
    <w:multiLevelType w:val="hybridMultilevel"/>
    <w:tmpl w:val="90021EC6"/>
    <w:lvl w:ilvl="0" w:tplc="23445A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75B"/>
    <w:multiLevelType w:val="hybridMultilevel"/>
    <w:tmpl w:val="694CE4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F3B"/>
    <w:multiLevelType w:val="hybridMultilevel"/>
    <w:tmpl w:val="4EFA24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A4"/>
    <w:rsid w:val="00006BDC"/>
    <w:rsid w:val="000246F7"/>
    <w:rsid w:val="00030BCF"/>
    <w:rsid w:val="0004427B"/>
    <w:rsid w:val="00054C7C"/>
    <w:rsid w:val="0006571D"/>
    <w:rsid w:val="000831DC"/>
    <w:rsid w:val="00090E2D"/>
    <w:rsid w:val="000D15EE"/>
    <w:rsid w:val="000D4F38"/>
    <w:rsid w:val="000F064E"/>
    <w:rsid w:val="00104C74"/>
    <w:rsid w:val="00117998"/>
    <w:rsid w:val="001237DF"/>
    <w:rsid w:val="001272EB"/>
    <w:rsid w:val="00130AC5"/>
    <w:rsid w:val="00146574"/>
    <w:rsid w:val="0016150C"/>
    <w:rsid w:val="0017769F"/>
    <w:rsid w:val="00182CC5"/>
    <w:rsid w:val="00186BC1"/>
    <w:rsid w:val="001A056F"/>
    <w:rsid w:val="001A62A4"/>
    <w:rsid w:val="001A6498"/>
    <w:rsid w:val="001B0B8F"/>
    <w:rsid w:val="001B3776"/>
    <w:rsid w:val="001B4C5A"/>
    <w:rsid w:val="001B7C8F"/>
    <w:rsid w:val="001E0184"/>
    <w:rsid w:val="001F0538"/>
    <w:rsid w:val="001F2842"/>
    <w:rsid w:val="001F69BD"/>
    <w:rsid w:val="00215CE4"/>
    <w:rsid w:val="0025231C"/>
    <w:rsid w:val="00264ABD"/>
    <w:rsid w:val="00293F31"/>
    <w:rsid w:val="002962A0"/>
    <w:rsid w:val="002D0726"/>
    <w:rsid w:val="002D3AFB"/>
    <w:rsid w:val="002E3E8E"/>
    <w:rsid w:val="00353EE8"/>
    <w:rsid w:val="003561C4"/>
    <w:rsid w:val="00367208"/>
    <w:rsid w:val="00396889"/>
    <w:rsid w:val="003E4C1E"/>
    <w:rsid w:val="00452253"/>
    <w:rsid w:val="0045377C"/>
    <w:rsid w:val="0045378F"/>
    <w:rsid w:val="004805DE"/>
    <w:rsid w:val="004A6286"/>
    <w:rsid w:val="004B1946"/>
    <w:rsid w:val="004B2BB8"/>
    <w:rsid w:val="004B60D2"/>
    <w:rsid w:val="004E7988"/>
    <w:rsid w:val="004F33D2"/>
    <w:rsid w:val="0050582A"/>
    <w:rsid w:val="00514707"/>
    <w:rsid w:val="0053132F"/>
    <w:rsid w:val="005539EC"/>
    <w:rsid w:val="005574E3"/>
    <w:rsid w:val="00567A94"/>
    <w:rsid w:val="00571FF2"/>
    <w:rsid w:val="005742E1"/>
    <w:rsid w:val="005B6E76"/>
    <w:rsid w:val="006119B2"/>
    <w:rsid w:val="00612B72"/>
    <w:rsid w:val="0061372B"/>
    <w:rsid w:val="0062083E"/>
    <w:rsid w:val="00646C5E"/>
    <w:rsid w:val="006471C9"/>
    <w:rsid w:val="006575F4"/>
    <w:rsid w:val="00676F10"/>
    <w:rsid w:val="006B3B74"/>
    <w:rsid w:val="006C44EF"/>
    <w:rsid w:val="006E2106"/>
    <w:rsid w:val="007222D9"/>
    <w:rsid w:val="007514C3"/>
    <w:rsid w:val="00755EAF"/>
    <w:rsid w:val="00766FC8"/>
    <w:rsid w:val="00772C98"/>
    <w:rsid w:val="007862AE"/>
    <w:rsid w:val="007958A2"/>
    <w:rsid w:val="007A11A1"/>
    <w:rsid w:val="007B086B"/>
    <w:rsid w:val="007D2CA7"/>
    <w:rsid w:val="007E457B"/>
    <w:rsid w:val="008069C1"/>
    <w:rsid w:val="00815622"/>
    <w:rsid w:val="008204BB"/>
    <w:rsid w:val="00822D84"/>
    <w:rsid w:val="00833554"/>
    <w:rsid w:val="00841371"/>
    <w:rsid w:val="008512C8"/>
    <w:rsid w:val="00865076"/>
    <w:rsid w:val="00876DD3"/>
    <w:rsid w:val="008A5CAE"/>
    <w:rsid w:val="008D64FB"/>
    <w:rsid w:val="008D7D7D"/>
    <w:rsid w:val="00914A4C"/>
    <w:rsid w:val="00943DE2"/>
    <w:rsid w:val="00972A24"/>
    <w:rsid w:val="009748D2"/>
    <w:rsid w:val="0098769F"/>
    <w:rsid w:val="009A6082"/>
    <w:rsid w:val="009A6ED5"/>
    <w:rsid w:val="009B1490"/>
    <w:rsid w:val="009B1A93"/>
    <w:rsid w:val="009B1C65"/>
    <w:rsid w:val="009C2AFF"/>
    <w:rsid w:val="009C5A33"/>
    <w:rsid w:val="009F2B5B"/>
    <w:rsid w:val="00A05E72"/>
    <w:rsid w:val="00A107B0"/>
    <w:rsid w:val="00A117E1"/>
    <w:rsid w:val="00A24582"/>
    <w:rsid w:val="00A32547"/>
    <w:rsid w:val="00A410A9"/>
    <w:rsid w:val="00A4336E"/>
    <w:rsid w:val="00A474DC"/>
    <w:rsid w:val="00A56A9D"/>
    <w:rsid w:val="00A73A14"/>
    <w:rsid w:val="00A96AC3"/>
    <w:rsid w:val="00AD431B"/>
    <w:rsid w:val="00AF0E33"/>
    <w:rsid w:val="00AF6384"/>
    <w:rsid w:val="00AF7D33"/>
    <w:rsid w:val="00B04CA6"/>
    <w:rsid w:val="00B47710"/>
    <w:rsid w:val="00B51229"/>
    <w:rsid w:val="00B76687"/>
    <w:rsid w:val="00B76F89"/>
    <w:rsid w:val="00B77F39"/>
    <w:rsid w:val="00C076D6"/>
    <w:rsid w:val="00C10AFC"/>
    <w:rsid w:val="00C10BC4"/>
    <w:rsid w:val="00C20F49"/>
    <w:rsid w:val="00C24A94"/>
    <w:rsid w:val="00C37473"/>
    <w:rsid w:val="00C44D1B"/>
    <w:rsid w:val="00C50541"/>
    <w:rsid w:val="00C512E1"/>
    <w:rsid w:val="00C77211"/>
    <w:rsid w:val="00CB0208"/>
    <w:rsid w:val="00CB6196"/>
    <w:rsid w:val="00CD1EDE"/>
    <w:rsid w:val="00CD291F"/>
    <w:rsid w:val="00CF6E93"/>
    <w:rsid w:val="00D109D2"/>
    <w:rsid w:val="00D14C89"/>
    <w:rsid w:val="00D15DFA"/>
    <w:rsid w:val="00D16432"/>
    <w:rsid w:val="00D20086"/>
    <w:rsid w:val="00D21BF7"/>
    <w:rsid w:val="00D437FC"/>
    <w:rsid w:val="00D83F91"/>
    <w:rsid w:val="00D95FD2"/>
    <w:rsid w:val="00DA6C8C"/>
    <w:rsid w:val="00DE1DC2"/>
    <w:rsid w:val="00DE2C31"/>
    <w:rsid w:val="00DF4B61"/>
    <w:rsid w:val="00DF7904"/>
    <w:rsid w:val="00E17BA0"/>
    <w:rsid w:val="00E20395"/>
    <w:rsid w:val="00EE071A"/>
    <w:rsid w:val="00F00CE1"/>
    <w:rsid w:val="00F17EE9"/>
    <w:rsid w:val="00F45C48"/>
    <w:rsid w:val="00F65192"/>
    <w:rsid w:val="00F7212B"/>
    <w:rsid w:val="00F80E2A"/>
    <w:rsid w:val="00F81654"/>
    <w:rsid w:val="00F954CA"/>
    <w:rsid w:val="00FA2576"/>
    <w:rsid w:val="00FA443D"/>
    <w:rsid w:val="00FA762A"/>
    <w:rsid w:val="00FB76A8"/>
    <w:rsid w:val="00FC1BFC"/>
    <w:rsid w:val="00FC659A"/>
    <w:rsid w:val="00FD3BDF"/>
    <w:rsid w:val="00FE08D7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174"/>
  <w15:docId w15:val="{454C0198-E943-4876-ABB2-6CE60D4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5F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215CE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215CE4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215CE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15CE4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215CE4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rsid w:val="00215CE4"/>
    <w:rPr>
      <w:rFonts w:ascii="Arial" w:hAnsi="Arial" w:cs="Arial"/>
      <w:b/>
      <w:bCs/>
      <w:sz w:val="22"/>
      <w:szCs w:val="26"/>
      <w:lang w:eastAsia="en-US"/>
    </w:rPr>
  </w:style>
  <w:style w:type="paragraph" w:customStyle="1" w:styleId="Opmaakprofiel4">
    <w:name w:val="Opmaakprofiel4"/>
    <w:basedOn w:val="Standaard"/>
    <w:qFormat/>
    <w:rsid w:val="00215CE4"/>
    <w:pPr>
      <w:spacing w:after="200"/>
    </w:pPr>
    <w:rPr>
      <w:rFonts w:ascii="Calibri" w:eastAsia="Calibri" w:hAnsi="Calibri"/>
      <w:b/>
      <w:sz w:val="28"/>
      <w:szCs w:val="22"/>
    </w:rPr>
  </w:style>
  <w:style w:type="table" w:styleId="Tabelraster">
    <w:name w:val="Table Grid"/>
    <w:basedOn w:val="Standaardtabel"/>
    <w:uiPriority w:val="59"/>
    <w:rsid w:val="00CF6E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3">
    <w:name w:val="Light List Accent 3"/>
    <w:basedOn w:val="Standaardtabel"/>
    <w:uiPriority w:val="61"/>
    <w:rsid w:val="00C7721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Normal">
    <w:name w:val="Table Normal"/>
    <w:rsid w:val="00B77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B77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01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01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0184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0582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0582A"/>
    <w:rPr>
      <w:rFonts w:ascii="Arial" w:hAnsi="Aria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05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o.nl/nl/over-tno/nieuws/2021/9/tno-brengt-energiearmoede-gedetailleerd-in-ka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Dat%20is%20wanneer%20huishoudens%2010%20procent%20van%20het%20inkomen%20of%20meer%20kwijt%20zijn%20aan%20de%20energierekening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eia.nl/trilemma/40099309/iedereen-compenseren-is-niemand-compenser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Bergen-NH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petbo</dc:creator>
  <cp:lastModifiedBy>S &amp; D</cp:lastModifiedBy>
  <cp:revision>15</cp:revision>
  <cp:lastPrinted>2021-11-24T10:03:00Z</cp:lastPrinted>
  <dcterms:created xsi:type="dcterms:W3CDTF">2021-11-24T08:06:00Z</dcterms:created>
  <dcterms:modified xsi:type="dcterms:W3CDTF">2021-12-02T13:57:00Z</dcterms:modified>
</cp:coreProperties>
</file>