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400"/>
        <w:gridCol w:w="4812"/>
      </w:tblGrid>
      <w:tr w:rsidR="006D4F7C" w:rsidRPr="00C32892" w14:paraId="1255D834" w14:textId="77777777" w:rsidTr="00CF6E93">
        <w:tc>
          <w:tcPr>
            <w:tcW w:w="3047" w:type="dxa"/>
            <w:tcBorders>
              <w:top w:val="single" w:sz="6" w:space="0" w:color="000000"/>
            </w:tcBorders>
          </w:tcPr>
          <w:p w14:paraId="0B6BB44F" w14:textId="77777777" w:rsidR="006575F4" w:rsidRDefault="006575F4" w:rsidP="006575F4">
            <w:pPr>
              <w:rPr>
                <w:rFonts w:cs="Arial"/>
                <w:sz w:val="22"/>
                <w:szCs w:val="22"/>
              </w:rPr>
            </w:pPr>
            <w:bookmarkStart w:id="0" w:name="_Hlk320014198"/>
            <w:bookmarkStart w:id="1" w:name="_Hlk331421044"/>
          </w:p>
          <w:p w14:paraId="3DF0EAE1" w14:textId="77777777" w:rsidR="00CF6E93" w:rsidRDefault="006D4F7C" w:rsidP="006575F4">
            <w:pPr>
              <w:rPr>
                <w:rFonts w:cs="Arial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A096958" wp14:editId="261B114A">
                  <wp:extent cx="2696307" cy="657225"/>
                  <wp:effectExtent l="0" t="0" r="8890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520" cy="668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6F8BB5" w14:textId="77777777" w:rsidR="00CF6E93" w:rsidRPr="00C32892" w:rsidRDefault="00CF6E93" w:rsidP="006575F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6165" w:type="dxa"/>
            <w:tcBorders>
              <w:top w:val="single" w:sz="6" w:space="0" w:color="000000"/>
            </w:tcBorders>
          </w:tcPr>
          <w:p w14:paraId="784F9403" w14:textId="77777777" w:rsidR="006575F4" w:rsidRPr="00C32892" w:rsidRDefault="006575F4" w:rsidP="00D350E5">
            <w:pPr>
              <w:rPr>
                <w:rFonts w:cs="Arial"/>
                <w:sz w:val="22"/>
                <w:szCs w:val="22"/>
              </w:rPr>
            </w:pPr>
          </w:p>
          <w:p w14:paraId="1FEE418F" w14:textId="77777777" w:rsidR="006575F4" w:rsidRPr="00C32892" w:rsidRDefault="006575F4" w:rsidP="00D350E5">
            <w:pPr>
              <w:rPr>
                <w:rFonts w:cs="Arial"/>
                <w:sz w:val="22"/>
                <w:szCs w:val="22"/>
              </w:rPr>
            </w:pPr>
          </w:p>
        </w:tc>
      </w:tr>
      <w:bookmarkEnd w:id="0"/>
      <w:bookmarkEnd w:id="1"/>
    </w:tbl>
    <w:p w14:paraId="025400C9" w14:textId="77777777" w:rsidR="006575F4" w:rsidRPr="00C32892" w:rsidRDefault="006575F4" w:rsidP="006575F4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26"/>
      </w:tblGrid>
      <w:tr w:rsidR="006575F4" w:rsidRPr="00C32892" w14:paraId="368A8BE6" w14:textId="77777777" w:rsidTr="00D350E5">
        <w:tc>
          <w:tcPr>
            <w:tcW w:w="9212" w:type="dxa"/>
            <w:tcBorders>
              <w:bottom w:val="single" w:sz="6" w:space="0" w:color="008000"/>
            </w:tcBorders>
          </w:tcPr>
          <w:p w14:paraId="6BAED3D7" w14:textId="77777777" w:rsidR="006575F4" w:rsidRPr="00C32892" w:rsidRDefault="006575F4" w:rsidP="00D350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14:paraId="2D01E17C" w14:textId="77777777" w:rsidR="006575F4" w:rsidRPr="00C32892" w:rsidRDefault="006575F4" w:rsidP="00D350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C32892">
              <w:rPr>
                <w:rFonts w:cs="Arial"/>
                <w:b/>
                <w:bCs/>
                <w:sz w:val="22"/>
                <w:szCs w:val="22"/>
              </w:rPr>
              <w:t>MOTIE</w:t>
            </w:r>
            <w:r w:rsidR="006D4F7C">
              <w:rPr>
                <w:rFonts w:cs="Arial"/>
                <w:b/>
                <w:bCs/>
                <w:sz w:val="22"/>
                <w:szCs w:val="22"/>
              </w:rPr>
              <w:t xml:space="preserve"> VREEMD AAN DE AGENDA</w:t>
            </w:r>
          </w:p>
          <w:p w14:paraId="3C341EB3" w14:textId="77777777" w:rsidR="006575F4" w:rsidRPr="00C32892" w:rsidRDefault="006575F4" w:rsidP="00D350E5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7C25CC58" w14:textId="77777777" w:rsidR="006575F4" w:rsidRPr="00C32892" w:rsidRDefault="006575F4" w:rsidP="006575F4">
      <w:pPr>
        <w:rPr>
          <w:rFonts w:cs="Arial"/>
          <w:sz w:val="22"/>
          <w:szCs w:val="22"/>
        </w:rPr>
      </w:pPr>
    </w:p>
    <w:p w14:paraId="511D4B59" w14:textId="77777777" w:rsidR="006575F4" w:rsidRPr="00C32892" w:rsidRDefault="006575F4" w:rsidP="006575F4">
      <w:pPr>
        <w:rPr>
          <w:rFonts w:cs="Arial"/>
          <w:sz w:val="22"/>
          <w:szCs w:val="22"/>
        </w:rPr>
      </w:pPr>
    </w:p>
    <w:tbl>
      <w:tblPr>
        <w:tblW w:w="9781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7371"/>
      </w:tblGrid>
      <w:tr w:rsidR="006575F4" w:rsidRPr="00C32892" w14:paraId="033EA662" w14:textId="77777777" w:rsidTr="009D2696">
        <w:tc>
          <w:tcPr>
            <w:tcW w:w="2410" w:type="dxa"/>
            <w:tcBorders>
              <w:bottom w:val="single" w:sz="12" w:space="0" w:color="000000"/>
            </w:tcBorders>
          </w:tcPr>
          <w:p w14:paraId="6BE06714" w14:textId="77777777" w:rsidR="00CF6E93" w:rsidRPr="00C2378A" w:rsidRDefault="00CF6E93" w:rsidP="00D350E5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single" w:sz="12" w:space="0" w:color="000000"/>
            </w:tcBorders>
          </w:tcPr>
          <w:p w14:paraId="1ADF4AA0" w14:textId="77777777" w:rsidR="006575F4" w:rsidRPr="00C32892" w:rsidRDefault="006575F4" w:rsidP="00CF6E93">
            <w:pPr>
              <w:rPr>
                <w:rFonts w:cs="Arial"/>
                <w:b/>
                <w:bCs/>
                <w:color w:val="000080"/>
                <w:sz w:val="22"/>
                <w:szCs w:val="22"/>
              </w:rPr>
            </w:pPr>
          </w:p>
        </w:tc>
      </w:tr>
      <w:tr w:rsidR="006575F4" w:rsidRPr="00C9388F" w14:paraId="3C486E91" w14:textId="77777777" w:rsidTr="009D2696"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1581B14E" w14:textId="77777777" w:rsidR="006575F4" w:rsidRPr="006F3002" w:rsidRDefault="00CF6E93" w:rsidP="00D350E5">
            <w:pPr>
              <w:pStyle w:val="Kop2"/>
              <w:rPr>
                <w:b w:val="0"/>
                <w:bCs w:val="0"/>
                <w:i w:val="0"/>
                <w:sz w:val="22"/>
                <w:szCs w:val="22"/>
              </w:rPr>
            </w:pPr>
            <w:r w:rsidRPr="006F3002">
              <w:rPr>
                <w:b w:val="0"/>
                <w:bCs w:val="0"/>
                <w:i w:val="0"/>
                <w:sz w:val="22"/>
                <w:szCs w:val="22"/>
              </w:rPr>
              <w:t>Onderwerp</w:t>
            </w:r>
          </w:p>
        </w:tc>
        <w:tc>
          <w:tcPr>
            <w:tcW w:w="7371" w:type="dxa"/>
            <w:tcBorders>
              <w:top w:val="single" w:sz="6" w:space="0" w:color="000000"/>
              <w:bottom w:val="single" w:sz="6" w:space="0" w:color="000000"/>
            </w:tcBorders>
          </w:tcPr>
          <w:p w14:paraId="68D89F34" w14:textId="77777777" w:rsidR="006047CF" w:rsidRDefault="006047CF" w:rsidP="009A05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8F4FF56" w14:textId="3ADFD418" w:rsidR="009A05B1" w:rsidRDefault="00AE11C5" w:rsidP="009A05B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Financi</w:t>
            </w:r>
            <w:r w:rsidR="008B7A29">
              <w:rPr>
                <w:rFonts w:ascii="Calibri" w:hAnsi="Calibri" w:cs="Calibri"/>
                <w:b/>
                <w:bCs/>
                <w:sz w:val="22"/>
                <w:szCs w:val="22"/>
              </w:rPr>
              <w:t>ë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le monitoring en sturing sociaal domein</w:t>
            </w:r>
          </w:p>
          <w:p w14:paraId="04E0B9E6" w14:textId="52EDD443" w:rsidR="006047CF" w:rsidRPr="00BB71DA" w:rsidRDefault="006047CF" w:rsidP="009A05B1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6575F4" w:rsidRPr="00C9388F" w14:paraId="40F122F7" w14:textId="77777777" w:rsidTr="009D2696"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41C68B7D" w14:textId="77777777" w:rsidR="006575F4" w:rsidRPr="006F3002" w:rsidRDefault="006575F4" w:rsidP="00D350E5">
            <w:pPr>
              <w:rPr>
                <w:rFonts w:cs="Arial"/>
                <w:sz w:val="22"/>
                <w:szCs w:val="22"/>
              </w:rPr>
            </w:pPr>
            <w:r w:rsidRPr="006F3002">
              <w:rPr>
                <w:rFonts w:cs="Arial"/>
                <w:sz w:val="22"/>
                <w:szCs w:val="22"/>
              </w:rPr>
              <w:t>Aanhef</w:t>
            </w:r>
          </w:p>
        </w:tc>
        <w:tc>
          <w:tcPr>
            <w:tcW w:w="7371" w:type="dxa"/>
            <w:tcBorders>
              <w:top w:val="single" w:sz="6" w:space="0" w:color="000000"/>
              <w:bottom w:val="single" w:sz="6" w:space="0" w:color="000000"/>
            </w:tcBorders>
          </w:tcPr>
          <w:p w14:paraId="78E219F1" w14:textId="760F51DC" w:rsidR="006575F4" w:rsidRPr="007B0C67" w:rsidRDefault="00BB71DA" w:rsidP="00D350E5">
            <w:pPr>
              <w:rPr>
                <w:rFonts w:cs="Arial"/>
                <w:sz w:val="22"/>
                <w:szCs w:val="22"/>
              </w:rPr>
            </w:pPr>
            <w:r w:rsidRPr="007B0C67">
              <w:rPr>
                <w:sz w:val="22"/>
                <w:szCs w:val="22"/>
              </w:rPr>
              <w:t xml:space="preserve">De raad van de gemeente Heiloo in vergadering bijeen op </w:t>
            </w:r>
            <w:r w:rsidR="00C465B9">
              <w:rPr>
                <w:sz w:val="22"/>
                <w:szCs w:val="22"/>
              </w:rPr>
              <w:t>9</w:t>
            </w:r>
            <w:r w:rsidRPr="007B0C67">
              <w:rPr>
                <w:sz w:val="22"/>
                <w:szCs w:val="22"/>
              </w:rPr>
              <w:t xml:space="preserve"> november 2020</w:t>
            </w:r>
          </w:p>
          <w:p w14:paraId="150A2319" w14:textId="77777777" w:rsidR="006575F4" w:rsidRPr="007B0C67" w:rsidRDefault="006575F4" w:rsidP="00D350E5">
            <w:pPr>
              <w:rPr>
                <w:rFonts w:cs="Arial"/>
                <w:sz w:val="22"/>
                <w:szCs w:val="22"/>
              </w:rPr>
            </w:pPr>
          </w:p>
        </w:tc>
      </w:tr>
      <w:tr w:rsidR="006575F4" w:rsidRPr="00C9388F" w14:paraId="6CF4D40E" w14:textId="77777777" w:rsidTr="009A05B1"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7DD73000" w14:textId="199B3936" w:rsidR="006575F4" w:rsidRDefault="006575F4" w:rsidP="00D350E5">
            <w:pPr>
              <w:rPr>
                <w:rFonts w:cs="Arial"/>
                <w:sz w:val="22"/>
                <w:szCs w:val="22"/>
              </w:rPr>
            </w:pPr>
          </w:p>
          <w:p w14:paraId="72EE94FF" w14:textId="2EFBA99D" w:rsidR="007B0C67" w:rsidRDefault="00AE11C5" w:rsidP="00D350E5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Overwegende</w:t>
            </w:r>
            <w:r w:rsidR="009A05B1">
              <w:rPr>
                <w:rFonts w:cs="Arial"/>
                <w:sz w:val="22"/>
                <w:szCs w:val="22"/>
              </w:rPr>
              <w:t xml:space="preserve"> dat</w:t>
            </w:r>
            <w:r w:rsidR="007B0C67">
              <w:rPr>
                <w:rFonts w:cs="Arial"/>
                <w:sz w:val="22"/>
                <w:szCs w:val="22"/>
              </w:rPr>
              <w:t>:</w:t>
            </w:r>
          </w:p>
          <w:p w14:paraId="604E3F49" w14:textId="77777777" w:rsidR="007B0C67" w:rsidRPr="006F3002" w:rsidRDefault="007B0C67" w:rsidP="00D350E5">
            <w:pPr>
              <w:rPr>
                <w:rFonts w:cs="Arial"/>
                <w:sz w:val="22"/>
                <w:szCs w:val="22"/>
              </w:rPr>
            </w:pPr>
          </w:p>
          <w:p w14:paraId="3C6FBDDB" w14:textId="77777777" w:rsidR="007B0C67" w:rsidRDefault="007B0C67" w:rsidP="000D69EE">
            <w:pPr>
              <w:rPr>
                <w:rFonts w:cs="Arial"/>
                <w:sz w:val="22"/>
                <w:szCs w:val="22"/>
              </w:rPr>
            </w:pPr>
          </w:p>
          <w:p w14:paraId="35E9AF48" w14:textId="77777777" w:rsidR="007B0C67" w:rsidRDefault="007B0C67" w:rsidP="000D69EE">
            <w:pPr>
              <w:rPr>
                <w:rFonts w:cs="Arial"/>
                <w:sz w:val="22"/>
                <w:szCs w:val="22"/>
              </w:rPr>
            </w:pPr>
          </w:p>
          <w:p w14:paraId="5F2777A3" w14:textId="77777777" w:rsidR="007B0C67" w:rsidRDefault="007B0C67" w:rsidP="000D69EE">
            <w:pPr>
              <w:rPr>
                <w:rFonts w:cs="Arial"/>
                <w:sz w:val="22"/>
                <w:szCs w:val="22"/>
              </w:rPr>
            </w:pPr>
          </w:p>
          <w:p w14:paraId="242E8B69" w14:textId="77777777" w:rsidR="007B0C67" w:rsidRDefault="007B0C67" w:rsidP="000D69EE">
            <w:pPr>
              <w:rPr>
                <w:rFonts w:cs="Arial"/>
                <w:sz w:val="22"/>
                <w:szCs w:val="22"/>
              </w:rPr>
            </w:pPr>
          </w:p>
          <w:p w14:paraId="49BF31BC" w14:textId="73D8DEF9" w:rsidR="007B0C67" w:rsidRDefault="007B0C67" w:rsidP="000D69EE">
            <w:pPr>
              <w:rPr>
                <w:rFonts w:cs="Arial"/>
                <w:sz w:val="22"/>
                <w:szCs w:val="22"/>
              </w:rPr>
            </w:pPr>
          </w:p>
          <w:p w14:paraId="37BDF361" w14:textId="0D2E9134" w:rsidR="009A05B1" w:rsidRDefault="009A05B1" w:rsidP="000D69EE">
            <w:pPr>
              <w:rPr>
                <w:rFonts w:cs="Arial"/>
                <w:sz w:val="22"/>
                <w:szCs w:val="22"/>
              </w:rPr>
            </w:pPr>
          </w:p>
          <w:p w14:paraId="31D1F158" w14:textId="77777777" w:rsidR="009A05B1" w:rsidRDefault="009A05B1" w:rsidP="000D69EE">
            <w:pPr>
              <w:rPr>
                <w:rFonts w:cs="Arial"/>
                <w:sz w:val="22"/>
                <w:szCs w:val="22"/>
              </w:rPr>
            </w:pPr>
          </w:p>
          <w:p w14:paraId="3AA96CAB" w14:textId="77777777" w:rsidR="009A05B1" w:rsidRDefault="009A05B1" w:rsidP="000D69EE">
            <w:pPr>
              <w:rPr>
                <w:rFonts w:cs="Arial"/>
                <w:sz w:val="22"/>
                <w:szCs w:val="22"/>
              </w:rPr>
            </w:pPr>
          </w:p>
          <w:p w14:paraId="55FC31A0" w14:textId="77777777" w:rsidR="00635CBB" w:rsidRPr="006F3002" w:rsidRDefault="00635CBB" w:rsidP="000D69EE">
            <w:pPr>
              <w:rPr>
                <w:rFonts w:cs="Arial"/>
                <w:sz w:val="22"/>
                <w:szCs w:val="22"/>
              </w:rPr>
            </w:pPr>
          </w:p>
          <w:p w14:paraId="47089CD8" w14:textId="77777777" w:rsidR="00635CBB" w:rsidRPr="006F3002" w:rsidRDefault="00635CBB" w:rsidP="000D69E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000000"/>
              <w:bottom w:val="single" w:sz="6" w:space="0" w:color="000000"/>
            </w:tcBorders>
          </w:tcPr>
          <w:p w14:paraId="4FF2EF08" w14:textId="77777777" w:rsidR="00C465B9" w:rsidRPr="00AE11C5" w:rsidRDefault="00C465B9" w:rsidP="006047CF">
            <w:pPr>
              <w:pStyle w:val="Default"/>
              <w:spacing w:after="68"/>
              <w:rPr>
                <w:rFonts w:ascii="Arial" w:hAnsi="Arial" w:cs="Arial"/>
                <w:sz w:val="22"/>
                <w:szCs w:val="22"/>
              </w:rPr>
            </w:pPr>
          </w:p>
          <w:p w14:paraId="2CAB17DD" w14:textId="6BE8D08E" w:rsidR="00AE11C5" w:rsidRDefault="00AE11C5" w:rsidP="00AE11C5">
            <w:pPr>
              <w:pStyle w:val="Default"/>
              <w:numPr>
                <w:ilvl w:val="0"/>
                <w:numId w:val="19"/>
              </w:numPr>
              <w:spacing w:after="68"/>
              <w:rPr>
                <w:rFonts w:ascii="Arial" w:hAnsi="Arial" w:cs="Arial"/>
                <w:sz w:val="22"/>
                <w:szCs w:val="22"/>
              </w:rPr>
            </w:pPr>
            <w:r w:rsidRPr="00AE11C5">
              <w:rPr>
                <w:rFonts w:ascii="Arial" w:hAnsi="Arial" w:cs="Arial"/>
                <w:sz w:val="22"/>
                <w:szCs w:val="22"/>
              </w:rPr>
              <w:t>meerjarig overschrijdingen plaatsvinden op het sociaal domein;</w:t>
            </w:r>
          </w:p>
          <w:p w14:paraId="5D95CB6C" w14:textId="535F5CD4" w:rsidR="00AE11C5" w:rsidRPr="00AE11C5" w:rsidRDefault="00AE11C5" w:rsidP="00AE11C5">
            <w:pPr>
              <w:pStyle w:val="Default"/>
              <w:numPr>
                <w:ilvl w:val="0"/>
                <w:numId w:val="19"/>
              </w:numPr>
              <w:spacing w:after="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ook in de tweede FIRAP opnieuw extra nadelen op het gebied van jeugdhulp worden gemeld (€ 334.000)</w:t>
            </w:r>
          </w:p>
          <w:p w14:paraId="5619047F" w14:textId="6D48E862" w:rsidR="00AE11C5" w:rsidRDefault="00AE11C5" w:rsidP="00AE11C5">
            <w:pPr>
              <w:pStyle w:val="Default"/>
              <w:numPr>
                <w:ilvl w:val="0"/>
                <w:numId w:val="19"/>
              </w:numPr>
              <w:spacing w:after="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raad nu geen</w:t>
            </w:r>
            <w:r w:rsidRPr="00AE11C5">
              <w:rPr>
                <w:rFonts w:ascii="Arial" w:hAnsi="Arial" w:cs="Arial"/>
                <w:sz w:val="22"/>
                <w:szCs w:val="22"/>
              </w:rPr>
              <w:t xml:space="preserve"> inzicht </w:t>
            </w:r>
            <w:r>
              <w:rPr>
                <w:rFonts w:ascii="Arial" w:hAnsi="Arial" w:cs="Arial"/>
                <w:sz w:val="22"/>
                <w:szCs w:val="22"/>
              </w:rPr>
              <w:t xml:space="preserve">heeft </w:t>
            </w:r>
            <w:r w:rsidRPr="00AE11C5">
              <w:rPr>
                <w:rFonts w:ascii="Arial" w:hAnsi="Arial" w:cs="Arial"/>
                <w:sz w:val="22"/>
                <w:szCs w:val="22"/>
              </w:rPr>
              <w:t xml:space="preserve">in de kosten van </w:t>
            </w:r>
            <w:r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Pr="00AE11C5">
              <w:rPr>
                <w:rFonts w:ascii="Arial" w:hAnsi="Arial" w:cs="Arial"/>
                <w:sz w:val="22"/>
                <w:szCs w:val="22"/>
              </w:rPr>
              <w:t xml:space="preserve">geleverde zorg, potentiële overschrijdingen en waar mogelijk </w:t>
            </w:r>
            <w:r w:rsidR="00F062E8">
              <w:rPr>
                <w:rFonts w:ascii="Arial" w:hAnsi="Arial" w:cs="Arial"/>
                <w:sz w:val="22"/>
                <w:szCs w:val="22"/>
              </w:rPr>
              <w:t>kosten gedrukt kunnen worden</w:t>
            </w:r>
            <w:r w:rsidRPr="00AE11C5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107F628" w14:textId="021B109D" w:rsidR="00F062E8" w:rsidRDefault="00F062E8" w:rsidP="00AE11C5">
            <w:pPr>
              <w:pStyle w:val="Default"/>
              <w:numPr>
                <w:ilvl w:val="0"/>
                <w:numId w:val="19"/>
              </w:numPr>
              <w:spacing w:after="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raad ook geen goed overzicht heeft in geleverde preventieve zorg in het sociaal domein;</w:t>
            </w:r>
          </w:p>
          <w:p w14:paraId="6358F66E" w14:textId="1E89E217" w:rsidR="00A3648B" w:rsidRPr="00AE11C5" w:rsidRDefault="00A3648B" w:rsidP="00AE11C5">
            <w:pPr>
              <w:pStyle w:val="Default"/>
              <w:numPr>
                <w:ilvl w:val="0"/>
                <w:numId w:val="19"/>
              </w:numPr>
              <w:spacing w:after="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behoefte bestaat aan</w:t>
            </w:r>
            <w:r w:rsidRPr="00AE11C5">
              <w:rPr>
                <w:rFonts w:ascii="Arial" w:hAnsi="Arial" w:cs="Arial"/>
                <w:sz w:val="22"/>
                <w:szCs w:val="22"/>
              </w:rPr>
              <w:t xml:space="preserve"> monitoring (</w:t>
            </w:r>
            <w:r>
              <w:rPr>
                <w:rFonts w:ascii="Arial" w:hAnsi="Arial" w:cs="Arial"/>
                <w:sz w:val="22"/>
                <w:szCs w:val="22"/>
              </w:rPr>
              <w:t xml:space="preserve">al dan niet </w:t>
            </w:r>
            <w:r w:rsidRPr="00AE11C5">
              <w:rPr>
                <w:rFonts w:ascii="Arial" w:hAnsi="Arial" w:cs="Arial"/>
                <w:sz w:val="22"/>
                <w:szCs w:val="22"/>
              </w:rPr>
              <w:t xml:space="preserve">aan de hand van het dashboard) </w:t>
            </w:r>
            <w:r>
              <w:rPr>
                <w:rFonts w:ascii="Arial" w:hAnsi="Arial" w:cs="Arial"/>
                <w:sz w:val="22"/>
                <w:szCs w:val="22"/>
              </w:rPr>
              <w:t>dat leidt</w:t>
            </w:r>
            <w:r w:rsidRPr="00AE11C5">
              <w:rPr>
                <w:rFonts w:ascii="Arial" w:hAnsi="Arial" w:cs="Arial"/>
                <w:sz w:val="22"/>
                <w:szCs w:val="22"/>
              </w:rPr>
              <w:t xml:space="preserve"> tot inzicht in de kosten van geleverde zorg, potentiële overschrijdingen en </w:t>
            </w:r>
            <w:r>
              <w:rPr>
                <w:rFonts w:ascii="Arial" w:hAnsi="Arial" w:cs="Arial"/>
                <w:sz w:val="22"/>
                <w:szCs w:val="22"/>
              </w:rPr>
              <w:t>(on)mogelijkheden tot</w:t>
            </w:r>
            <w:r w:rsidRPr="00AE11C5">
              <w:rPr>
                <w:rFonts w:ascii="Arial" w:hAnsi="Arial" w:cs="Arial"/>
                <w:sz w:val="22"/>
                <w:szCs w:val="22"/>
              </w:rPr>
              <w:t xml:space="preserve"> het drukken van kosten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491D47" w14:textId="0E9F1663" w:rsidR="00B07B6E" w:rsidRPr="00AE11C5" w:rsidRDefault="00B07B6E" w:rsidP="00F062E8">
            <w:pPr>
              <w:rPr>
                <w:rFonts w:cs="Arial"/>
                <w:sz w:val="22"/>
                <w:szCs w:val="22"/>
              </w:rPr>
            </w:pPr>
          </w:p>
        </w:tc>
      </w:tr>
      <w:tr w:rsidR="006575F4" w:rsidRPr="00C465B9" w14:paraId="15AB461A" w14:textId="77777777" w:rsidTr="009D2696"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574224F3" w14:textId="65B3CC14" w:rsidR="0030417B" w:rsidRDefault="00C465B9" w:rsidP="000D69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.</w:t>
            </w:r>
          </w:p>
          <w:p w14:paraId="283E7F81" w14:textId="77777777" w:rsidR="00B07B6E" w:rsidRDefault="00B07B6E" w:rsidP="000D69EE">
            <w:pPr>
              <w:rPr>
                <w:rFonts w:cs="Arial"/>
                <w:sz w:val="22"/>
                <w:szCs w:val="22"/>
              </w:rPr>
            </w:pPr>
          </w:p>
          <w:p w14:paraId="02258ADB" w14:textId="37273689" w:rsidR="0030417B" w:rsidRPr="006F3002" w:rsidRDefault="00C465B9" w:rsidP="000D69E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Verzoekt</w:t>
            </w:r>
            <w:r w:rsidR="0030417B">
              <w:rPr>
                <w:rFonts w:cs="Arial"/>
                <w:sz w:val="22"/>
                <w:szCs w:val="22"/>
              </w:rPr>
              <w:t xml:space="preserve"> het college:</w:t>
            </w:r>
          </w:p>
          <w:p w14:paraId="2151337D" w14:textId="77777777" w:rsidR="006575F4" w:rsidRPr="006F3002" w:rsidRDefault="006575F4" w:rsidP="00D350E5">
            <w:pPr>
              <w:rPr>
                <w:rFonts w:cs="Arial"/>
                <w:sz w:val="22"/>
                <w:szCs w:val="22"/>
              </w:rPr>
            </w:pPr>
          </w:p>
          <w:p w14:paraId="4330FFDA" w14:textId="77777777" w:rsidR="006575F4" w:rsidRPr="006F3002" w:rsidRDefault="006575F4" w:rsidP="007D566A">
            <w:pPr>
              <w:rPr>
                <w:rFonts w:cs="Arial"/>
                <w:sz w:val="22"/>
                <w:szCs w:val="22"/>
              </w:rPr>
            </w:pPr>
          </w:p>
          <w:p w14:paraId="49D425F0" w14:textId="77777777" w:rsidR="006575F4" w:rsidRPr="006F3002" w:rsidRDefault="006575F4" w:rsidP="00D350E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000000"/>
              <w:bottom w:val="single" w:sz="6" w:space="0" w:color="000000"/>
            </w:tcBorders>
          </w:tcPr>
          <w:p w14:paraId="660B7D99" w14:textId="77777777" w:rsidR="00B07B6E" w:rsidRPr="00C465B9" w:rsidRDefault="00B07B6E" w:rsidP="00B07B6E">
            <w:pPr>
              <w:shd w:val="clear" w:color="auto" w:fill="FBFBFB"/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51A5327" w14:textId="77777777" w:rsidR="00A3648B" w:rsidRDefault="00F062E8" w:rsidP="00F062E8">
            <w:pPr>
              <w:pStyle w:val="Default"/>
              <w:numPr>
                <w:ilvl w:val="0"/>
                <w:numId w:val="19"/>
              </w:numPr>
              <w:spacing w:after="68"/>
              <w:rPr>
                <w:rFonts w:ascii="Arial" w:hAnsi="Arial" w:cs="Arial"/>
                <w:sz w:val="22"/>
                <w:szCs w:val="22"/>
              </w:rPr>
            </w:pPr>
            <w:r w:rsidRPr="00AE11C5">
              <w:rPr>
                <w:rFonts w:ascii="Arial" w:hAnsi="Arial" w:cs="Arial"/>
                <w:sz w:val="22"/>
                <w:szCs w:val="22"/>
              </w:rPr>
              <w:t>integraal, projectmatig en structureel de kosten van het sociaal domein te monitoren</w:t>
            </w:r>
            <w:r>
              <w:rPr>
                <w:rFonts w:ascii="Arial" w:hAnsi="Arial" w:cs="Arial"/>
                <w:sz w:val="22"/>
                <w:szCs w:val="22"/>
              </w:rPr>
              <w:t xml:space="preserve"> (al dan niet via een ‘dashboard’ zoals dat ook in andere gemeenten wordt gebruikt)</w:t>
            </w:r>
            <w:r w:rsidR="00A3648B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042378B5" w14:textId="4DF4E153" w:rsidR="00F062E8" w:rsidRDefault="00A3648B" w:rsidP="00F062E8">
            <w:pPr>
              <w:pStyle w:val="Default"/>
              <w:numPr>
                <w:ilvl w:val="0"/>
                <w:numId w:val="19"/>
              </w:numPr>
              <w:spacing w:after="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="00F062E8">
              <w:rPr>
                <w:rFonts w:ascii="Arial" w:hAnsi="Arial" w:cs="Arial"/>
                <w:sz w:val="22"/>
                <w:szCs w:val="22"/>
              </w:rPr>
              <w:t>eze monitoring ter consultatie voor te leggen aan de raad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C9CD936" w14:textId="72CF4704" w:rsidR="00A3648B" w:rsidRDefault="00A3648B" w:rsidP="00F062E8">
            <w:pPr>
              <w:pStyle w:val="Default"/>
              <w:numPr>
                <w:ilvl w:val="0"/>
                <w:numId w:val="19"/>
              </w:numPr>
              <w:spacing w:after="6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de manier waarop deze monitoring wordt vormgegeven aan </w:t>
            </w:r>
            <w:r w:rsidR="00215E44"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e sluiten bij de andere BUCH-gemeenten;</w:t>
            </w:r>
          </w:p>
          <w:p w14:paraId="6143739D" w14:textId="4EA64DB4" w:rsidR="00F062E8" w:rsidRPr="00A3648B" w:rsidRDefault="00F062E8" w:rsidP="00A3648B">
            <w:pPr>
              <w:pStyle w:val="Default"/>
              <w:numPr>
                <w:ilvl w:val="0"/>
                <w:numId w:val="19"/>
              </w:numPr>
              <w:spacing w:after="68"/>
              <w:rPr>
                <w:rFonts w:ascii="Arial" w:hAnsi="Arial" w:cs="Arial"/>
                <w:sz w:val="22"/>
                <w:szCs w:val="22"/>
              </w:rPr>
            </w:pPr>
            <w:r w:rsidRPr="00A3648B">
              <w:rPr>
                <w:rFonts w:ascii="Arial" w:hAnsi="Arial" w:cs="Arial"/>
                <w:sz w:val="22"/>
                <w:szCs w:val="22"/>
              </w:rPr>
              <w:t>voor medio februari met een afvaardiging van de gemeenteraad in gesprek te gaan over informatie die in het dashboard voor het sociaal domein dient te worden opgenomen;</w:t>
            </w:r>
          </w:p>
          <w:p w14:paraId="73B74ADD" w14:textId="3F08041D" w:rsidR="00F062E8" w:rsidRPr="00AE11C5" w:rsidRDefault="00F062E8" w:rsidP="00F062E8">
            <w:pPr>
              <w:pStyle w:val="Default"/>
              <w:numPr>
                <w:ilvl w:val="0"/>
                <w:numId w:val="19"/>
              </w:numPr>
              <w:spacing w:after="68"/>
              <w:rPr>
                <w:rFonts w:ascii="Arial" w:hAnsi="Arial" w:cs="Arial"/>
                <w:sz w:val="22"/>
                <w:szCs w:val="22"/>
              </w:rPr>
            </w:pPr>
            <w:r w:rsidRPr="00AE11C5">
              <w:rPr>
                <w:rFonts w:ascii="Arial" w:hAnsi="Arial" w:cs="Arial"/>
                <w:sz w:val="22"/>
                <w:szCs w:val="22"/>
              </w:rPr>
              <w:t>uiterlijk 1 juli 2021, wensen van de raad gehoord hebbend, een dashboard geïmplementeerd te hebben;</w:t>
            </w:r>
          </w:p>
          <w:p w14:paraId="59BFF1A7" w14:textId="53C48935" w:rsidR="00F062E8" w:rsidRPr="00AE11C5" w:rsidRDefault="00F062E8" w:rsidP="00F062E8">
            <w:pPr>
              <w:pStyle w:val="Default"/>
              <w:numPr>
                <w:ilvl w:val="0"/>
                <w:numId w:val="19"/>
              </w:numPr>
              <w:spacing w:after="68"/>
              <w:rPr>
                <w:rFonts w:ascii="Arial" w:hAnsi="Arial" w:cs="Arial"/>
                <w:sz w:val="22"/>
                <w:szCs w:val="22"/>
              </w:rPr>
            </w:pPr>
            <w:r w:rsidRPr="00AE11C5">
              <w:rPr>
                <w:rFonts w:ascii="Arial" w:hAnsi="Arial" w:cs="Arial"/>
                <w:sz w:val="22"/>
                <w:szCs w:val="22"/>
              </w:rPr>
              <w:t>inzichten ten aanzien van de financiële situatie op basis van de monitoring in kwartaalrapportages te verstrekken vanaf het eerste kwartaal in 2021.</w:t>
            </w:r>
          </w:p>
          <w:p w14:paraId="33EF2EBF" w14:textId="77777777" w:rsidR="00F062E8" w:rsidRPr="00A3648B" w:rsidRDefault="00F062E8" w:rsidP="00A3648B">
            <w:pPr>
              <w:pStyle w:val="Default"/>
              <w:spacing w:after="68"/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6AFA0C00" w14:textId="7663FD5C" w:rsidR="009A05B1" w:rsidRPr="00C465B9" w:rsidRDefault="009A05B1" w:rsidP="006618D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75F4" w:rsidRPr="00C9388F" w14:paraId="363767BF" w14:textId="77777777" w:rsidTr="00C9388F"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14:paraId="66AD0EB6" w14:textId="1942B3AF" w:rsidR="006575F4" w:rsidRPr="006F3002" w:rsidRDefault="00CF6E93" w:rsidP="00D350E5">
            <w:pPr>
              <w:rPr>
                <w:rFonts w:cs="Arial"/>
                <w:sz w:val="22"/>
                <w:szCs w:val="22"/>
              </w:rPr>
            </w:pPr>
            <w:r w:rsidRPr="006F3002">
              <w:rPr>
                <w:rFonts w:cs="Arial"/>
                <w:sz w:val="22"/>
                <w:szCs w:val="22"/>
              </w:rPr>
              <w:lastRenderedPageBreak/>
              <w:t>Indiener</w:t>
            </w:r>
            <w:r w:rsidR="000D69EE" w:rsidRPr="006F3002">
              <w:rPr>
                <w:rFonts w:cs="Arial"/>
                <w:sz w:val="22"/>
                <w:szCs w:val="22"/>
              </w:rPr>
              <w:t xml:space="preserve"> PvdA</w:t>
            </w:r>
          </w:p>
          <w:p w14:paraId="181A4FF6" w14:textId="77777777" w:rsidR="0083160C" w:rsidRPr="006F3002" w:rsidRDefault="0083160C" w:rsidP="00D350E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000000"/>
              <w:bottom w:val="single" w:sz="6" w:space="0" w:color="000000"/>
            </w:tcBorders>
          </w:tcPr>
          <w:p w14:paraId="447A3CCD" w14:textId="77777777" w:rsidR="006575F4" w:rsidRPr="006F3002" w:rsidRDefault="006575F4" w:rsidP="00D350E5">
            <w:pPr>
              <w:rPr>
                <w:rFonts w:cs="Arial"/>
                <w:sz w:val="22"/>
                <w:szCs w:val="22"/>
              </w:rPr>
            </w:pPr>
          </w:p>
          <w:p w14:paraId="207B534D" w14:textId="77777777" w:rsidR="006575F4" w:rsidRPr="006F3002" w:rsidRDefault="006575F4" w:rsidP="00D350E5">
            <w:pPr>
              <w:rPr>
                <w:rFonts w:cs="Arial"/>
                <w:sz w:val="22"/>
                <w:szCs w:val="22"/>
              </w:rPr>
            </w:pPr>
          </w:p>
        </w:tc>
      </w:tr>
      <w:tr w:rsidR="00C9388F" w:rsidRPr="00C9388F" w14:paraId="6BA2D2C4" w14:textId="77777777" w:rsidTr="009D2696">
        <w:tc>
          <w:tcPr>
            <w:tcW w:w="2410" w:type="dxa"/>
            <w:tcBorders>
              <w:top w:val="single" w:sz="6" w:space="0" w:color="000000"/>
            </w:tcBorders>
          </w:tcPr>
          <w:p w14:paraId="0693DBC3" w14:textId="77777777" w:rsidR="00C9388F" w:rsidRPr="00C9388F" w:rsidRDefault="00C9388F" w:rsidP="00D350E5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6" w:space="0" w:color="000000"/>
            </w:tcBorders>
          </w:tcPr>
          <w:p w14:paraId="7162855A" w14:textId="77777777" w:rsidR="00C9388F" w:rsidRPr="00C9388F" w:rsidRDefault="00C9388F" w:rsidP="00D350E5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607C99D2" w14:textId="77777777" w:rsidR="000D69EE" w:rsidRPr="00C9388F" w:rsidRDefault="000D69EE" w:rsidP="00CF6E93">
      <w:pPr>
        <w:rPr>
          <w:i/>
          <w:color w:val="7030A0"/>
          <w:sz w:val="22"/>
          <w:szCs w:val="22"/>
        </w:rPr>
      </w:pPr>
    </w:p>
    <w:p w14:paraId="2725E76E" w14:textId="77777777" w:rsidR="00C9388F" w:rsidRPr="00C9388F" w:rsidRDefault="00C9388F" w:rsidP="00CF6E93">
      <w:pPr>
        <w:rPr>
          <w:i/>
          <w:color w:val="7030A0"/>
          <w:sz w:val="22"/>
          <w:szCs w:val="22"/>
        </w:rPr>
      </w:pPr>
    </w:p>
    <w:p w14:paraId="742C2E24" w14:textId="77777777" w:rsidR="00C9388F" w:rsidRPr="00C9388F" w:rsidRDefault="00C9388F" w:rsidP="00CF6E93">
      <w:pPr>
        <w:rPr>
          <w:i/>
          <w:color w:val="7030A0"/>
          <w:sz w:val="22"/>
          <w:szCs w:val="22"/>
        </w:rPr>
      </w:pPr>
    </w:p>
    <w:p w14:paraId="5DF30A58" w14:textId="77777777" w:rsidR="00B76F89" w:rsidRDefault="00B76F89" w:rsidP="00B76F89">
      <w:pPr>
        <w:tabs>
          <w:tab w:val="left" w:pos="993"/>
        </w:tabs>
        <w:spacing w:line="360" w:lineRule="auto"/>
        <w:rPr>
          <w:b/>
          <w:sz w:val="22"/>
          <w:szCs w:val="20"/>
        </w:rPr>
      </w:pPr>
      <w:r w:rsidRPr="00B76F89">
        <w:rPr>
          <w:b/>
          <w:sz w:val="22"/>
          <w:szCs w:val="20"/>
        </w:rPr>
        <w:t>Ondertekend door de volgende fracties:</w:t>
      </w:r>
      <w:bookmarkStart w:id="2" w:name="OpenAt"/>
      <w:bookmarkEnd w:id="2"/>
    </w:p>
    <w:p w14:paraId="4FE0C821" w14:textId="77777777" w:rsidR="00E93C48" w:rsidRPr="00B76F89" w:rsidRDefault="00E93C48" w:rsidP="00B76F89">
      <w:pPr>
        <w:tabs>
          <w:tab w:val="left" w:pos="993"/>
        </w:tabs>
        <w:spacing w:line="360" w:lineRule="auto"/>
        <w:rPr>
          <w:b/>
          <w:sz w:val="22"/>
          <w:szCs w:val="20"/>
        </w:rPr>
      </w:pPr>
    </w:p>
    <w:p w14:paraId="7D6A84FC" w14:textId="77777777" w:rsidR="00B76F89" w:rsidRPr="00B76F89" w:rsidRDefault="00B76F89" w:rsidP="00B76F89">
      <w:pPr>
        <w:tabs>
          <w:tab w:val="left" w:pos="993"/>
        </w:tabs>
        <w:spacing w:line="360" w:lineRule="auto"/>
        <w:rPr>
          <w:sz w:val="22"/>
          <w:szCs w:val="20"/>
        </w:rPr>
      </w:pPr>
    </w:p>
    <w:p w14:paraId="7A7CA012" w14:textId="77777777" w:rsidR="00B76F89" w:rsidRPr="00B76F89" w:rsidRDefault="00B76F89" w:rsidP="00B76F89">
      <w:pPr>
        <w:tabs>
          <w:tab w:val="left" w:pos="993"/>
        </w:tabs>
        <w:spacing w:line="480" w:lineRule="auto"/>
        <w:rPr>
          <w:sz w:val="22"/>
          <w:szCs w:val="20"/>
        </w:rPr>
      </w:pPr>
      <w:r w:rsidRPr="00B76F89">
        <w:rPr>
          <w:sz w:val="22"/>
          <w:szCs w:val="20"/>
        </w:rPr>
        <w:t>Heiloo 2000</w:t>
      </w:r>
      <w:r w:rsidRPr="00B76F89">
        <w:rPr>
          <w:b/>
          <w:sz w:val="22"/>
          <w:szCs w:val="20"/>
        </w:rPr>
        <w:tab/>
        <w:t>……………………</w:t>
      </w:r>
      <w:r w:rsidRPr="00B76F89">
        <w:rPr>
          <w:b/>
          <w:sz w:val="22"/>
          <w:szCs w:val="20"/>
        </w:rPr>
        <w:tab/>
      </w:r>
      <w:r w:rsidRPr="00B76F89">
        <w:rPr>
          <w:b/>
          <w:sz w:val="22"/>
          <w:szCs w:val="20"/>
        </w:rPr>
        <w:tab/>
      </w:r>
      <w:r w:rsidR="009A6082" w:rsidRPr="00B76F89">
        <w:rPr>
          <w:sz w:val="22"/>
          <w:szCs w:val="20"/>
        </w:rPr>
        <w:t>VVD</w:t>
      </w:r>
      <w:r w:rsidR="009A6082" w:rsidRPr="00B76F89">
        <w:rPr>
          <w:b/>
          <w:sz w:val="22"/>
          <w:szCs w:val="20"/>
        </w:rPr>
        <w:tab/>
      </w:r>
      <w:r w:rsidR="009A6082" w:rsidRPr="00B76F89">
        <w:rPr>
          <w:b/>
          <w:sz w:val="22"/>
          <w:szCs w:val="20"/>
        </w:rPr>
        <w:tab/>
        <w:t>……………………</w:t>
      </w:r>
      <w:r w:rsidR="009A6082" w:rsidRPr="00B76F89">
        <w:rPr>
          <w:b/>
          <w:sz w:val="22"/>
          <w:szCs w:val="20"/>
        </w:rPr>
        <w:tab/>
      </w:r>
    </w:p>
    <w:p w14:paraId="1A15BB5E" w14:textId="77777777" w:rsidR="00B76F89" w:rsidRPr="00B76F89" w:rsidRDefault="00B76F89" w:rsidP="00B76F89">
      <w:pPr>
        <w:tabs>
          <w:tab w:val="left" w:pos="993"/>
        </w:tabs>
        <w:spacing w:line="480" w:lineRule="auto"/>
        <w:rPr>
          <w:sz w:val="22"/>
          <w:szCs w:val="20"/>
        </w:rPr>
      </w:pPr>
    </w:p>
    <w:p w14:paraId="4EC1BD1F" w14:textId="77777777" w:rsidR="009A6082" w:rsidRPr="00B76F89" w:rsidRDefault="00B76F89" w:rsidP="009A6082">
      <w:pPr>
        <w:tabs>
          <w:tab w:val="left" w:pos="993"/>
        </w:tabs>
        <w:spacing w:line="480" w:lineRule="auto"/>
        <w:rPr>
          <w:sz w:val="22"/>
          <w:szCs w:val="20"/>
        </w:rPr>
      </w:pPr>
      <w:r w:rsidRPr="00B76F89">
        <w:rPr>
          <w:sz w:val="22"/>
          <w:szCs w:val="20"/>
        </w:rPr>
        <w:t>D66</w:t>
      </w:r>
      <w:r w:rsidRPr="00B76F89">
        <w:rPr>
          <w:b/>
          <w:sz w:val="22"/>
          <w:szCs w:val="20"/>
        </w:rPr>
        <w:tab/>
      </w:r>
      <w:r w:rsidRPr="00B76F89">
        <w:rPr>
          <w:b/>
          <w:sz w:val="22"/>
          <w:szCs w:val="20"/>
        </w:rPr>
        <w:tab/>
        <w:t>……………………</w:t>
      </w:r>
      <w:r w:rsidRPr="00B76F89">
        <w:rPr>
          <w:b/>
          <w:sz w:val="22"/>
          <w:szCs w:val="20"/>
        </w:rPr>
        <w:tab/>
      </w:r>
      <w:r w:rsidRPr="00B76F89">
        <w:rPr>
          <w:b/>
          <w:sz w:val="22"/>
          <w:szCs w:val="20"/>
        </w:rPr>
        <w:tab/>
      </w:r>
      <w:r w:rsidR="009A6082" w:rsidRPr="00B76F89">
        <w:rPr>
          <w:sz w:val="22"/>
          <w:szCs w:val="20"/>
        </w:rPr>
        <w:t xml:space="preserve">CDA </w:t>
      </w:r>
      <w:r w:rsidR="009A6082" w:rsidRPr="00B76F89">
        <w:rPr>
          <w:sz w:val="22"/>
          <w:szCs w:val="20"/>
        </w:rPr>
        <w:tab/>
      </w:r>
      <w:r w:rsidR="009A6082" w:rsidRPr="00B76F89">
        <w:rPr>
          <w:sz w:val="22"/>
          <w:szCs w:val="20"/>
        </w:rPr>
        <w:tab/>
      </w:r>
      <w:r w:rsidR="009A6082" w:rsidRPr="00B76F89">
        <w:rPr>
          <w:b/>
          <w:sz w:val="22"/>
          <w:szCs w:val="20"/>
        </w:rPr>
        <w:t>……………………</w:t>
      </w:r>
      <w:r w:rsidR="009A6082" w:rsidRPr="00B76F89">
        <w:rPr>
          <w:sz w:val="22"/>
          <w:szCs w:val="20"/>
        </w:rPr>
        <w:t xml:space="preserve"> </w:t>
      </w:r>
    </w:p>
    <w:p w14:paraId="79811C09" w14:textId="77777777" w:rsidR="00B76F89" w:rsidRPr="00B76F89" w:rsidRDefault="00B76F89" w:rsidP="00B76F89">
      <w:pPr>
        <w:tabs>
          <w:tab w:val="left" w:pos="993"/>
        </w:tabs>
        <w:spacing w:line="480" w:lineRule="auto"/>
        <w:rPr>
          <w:b/>
          <w:sz w:val="22"/>
          <w:szCs w:val="20"/>
        </w:rPr>
      </w:pPr>
    </w:p>
    <w:p w14:paraId="691D73F0" w14:textId="3B2DB185" w:rsidR="009A6082" w:rsidRPr="00B76F89" w:rsidRDefault="00B76F89" w:rsidP="009A6082">
      <w:pPr>
        <w:tabs>
          <w:tab w:val="left" w:pos="993"/>
        </w:tabs>
        <w:spacing w:line="480" w:lineRule="auto"/>
        <w:rPr>
          <w:sz w:val="22"/>
          <w:szCs w:val="20"/>
        </w:rPr>
      </w:pPr>
      <w:r w:rsidRPr="00B76F89">
        <w:rPr>
          <w:sz w:val="22"/>
          <w:szCs w:val="20"/>
        </w:rPr>
        <w:t>PvdA</w:t>
      </w:r>
      <w:r w:rsidRPr="00B76F89">
        <w:rPr>
          <w:sz w:val="22"/>
          <w:szCs w:val="20"/>
        </w:rPr>
        <w:tab/>
      </w:r>
      <w:r w:rsidRPr="00B76F89">
        <w:rPr>
          <w:sz w:val="22"/>
          <w:szCs w:val="20"/>
        </w:rPr>
        <w:tab/>
      </w:r>
      <w:r w:rsidRPr="00B76F89">
        <w:rPr>
          <w:b/>
          <w:sz w:val="22"/>
          <w:szCs w:val="20"/>
        </w:rPr>
        <w:t>……………………</w:t>
      </w:r>
      <w:r w:rsidR="009A6082" w:rsidRPr="009A6082">
        <w:rPr>
          <w:sz w:val="22"/>
          <w:szCs w:val="20"/>
        </w:rPr>
        <w:t xml:space="preserve"> </w:t>
      </w:r>
      <w:r w:rsidR="009A6082">
        <w:rPr>
          <w:sz w:val="22"/>
          <w:szCs w:val="20"/>
        </w:rPr>
        <w:tab/>
      </w:r>
      <w:r w:rsidR="009A6082">
        <w:rPr>
          <w:sz w:val="22"/>
          <w:szCs w:val="20"/>
        </w:rPr>
        <w:tab/>
      </w:r>
    </w:p>
    <w:p w14:paraId="29F5A2F8" w14:textId="77777777" w:rsidR="00B76F89" w:rsidRPr="00B76F89" w:rsidRDefault="00B76F89" w:rsidP="00B76F89">
      <w:pPr>
        <w:tabs>
          <w:tab w:val="left" w:pos="993"/>
        </w:tabs>
        <w:spacing w:line="480" w:lineRule="auto"/>
        <w:rPr>
          <w:sz w:val="22"/>
          <w:szCs w:val="20"/>
        </w:rPr>
      </w:pPr>
    </w:p>
    <w:p w14:paraId="4F79C355" w14:textId="77777777" w:rsidR="00B76F89" w:rsidRPr="003B2806" w:rsidRDefault="00A837FD" w:rsidP="00B76F89">
      <w:pPr>
        <w:tabs>
          <w:tab w:val="left" w:pos="993"/>
        </w:tabs>
        <w:spacing w:line="480" w:lineRule="auto"/>
        <w:rPr>
          <w:b/>
          <w:sz w:val="22"/>
          <w:szCs w:val="20"/>
        </w:rPr>
      </w:pPr>
      <w:r>
        <w:rPr>
          <w:sz w:val="22"/>
          <w:szCs w:val="20"/>
        </w:rPr>
        <w:t>GBH</w:t>
      </w:r>
      <w:r w:rsidR="00B76F89" w:rsidRPr="00B76F89">
        <w:rPr>
          <w:sz w:val="22"/>
          <w:szCs w:val="20"/>
        </w:rPr>
        <w:tab/>
      </w:r>
      <w:r w:rsidR="00B76F89" w:rsidRPr="00B76F89">
        <w:rPr>
          <w:sz w:val="22"/>
          <w:szCs w:val="20"/>
        </w:rPr>
        <w:tab/>
      </w:r>
      <w:r w:rsidR="00B76F89" w:rsidRPr="00B76F89">
        <w:rPr>
          <w:b/>
          <w:sz w:val="22"/>
          <w:szCs w:val="20"/>
        </w:rPr>
        <w:t>……………………</w:t>
      </w:r>
      <w:r>
        <w:rPr>
          <w:b/>
          <w:sz w:val="22"/>
          <w:szCs w:val="20"/>
        </w:rPr>
        <w:t xml:space="preserve">                </w:t>
      </w:r>
      <w:r w:rsidR="003B2806">
        <w:rPr>
          <w:sz w:val="22"/>
          <w:szCs w:val="20"/>
        </w:rPr>
        <w:t xml:space="preserve">Heiloo Lokaal    </w:t>
      </w:r>
      <w:r w:rsidR="003B2806">
        <w:rPr>
          <w:b/>
          <w:sz w:val="22"/>
          <w:szCs w:val="20"/>
        </w:rPr>
        <w:t>…………………..</w:t>
      </w:r>
    </w:p>
    <w:p w14:paraId="0D477969" w14:textId="77777777" w:rsidR="006575F4" w:rsidRPr="00C32892" w:rsidRDefault="006575F4" w:rsidP="00CF6E93">
      <w:pPr>
        <w:rPr>
          <w:rFonts w:cs="Arial"/>
          <w:sz w:val="22"/>
          <w:szCs w:val="22"/>
        </w:rPr>
      </w:pPr>
    </w:p>
    <w:sectPr w:rsidR="006575F4" w:rsidRPr="00C32892" w:rsidSect="00FA76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63F6A"/>
    <w:multiLevelType w:val="multilevel"/>
    <w:tmpl w:val="3238E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47EA9"/>
    <w:multiLevelType w:val="hybridMultilevel"/>
    <w:tmpl w:val="DCDEAA6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F593B"/>
    <w:multiLevelType w:val="hybridMultilevel"/>
    <w:tmpl w:val="656E91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377AC"/>
    <w:multiLevelType w:val="hybridMultilevel"/>
    <w:tmpl w:val="DF8CA180"/>
    <w:lvl w:ilvl="0" w:tplc="0413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717A30"/>
    <w:multiLevelType w:val="hybridMultilevel"/>
    <w:tmpl w:val="8D265C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D10F3"/>
    <w:multiLevelType w:val="hybridMultilevel"/>
    <w:tmpl w:val="0E80CA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33930"/>
    <w:multiLevelType w:val="hybridMultilevel"/>
    <w:tmpl w:val="2A960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97E00"/>
    <w:multiLevelType w:val="hybridMultilevel"/>
    <w:tmpl w:val="24AA0B04"/>
    <w:lvl w:ilvl="0" w:tplc="66040D80">
      <w:numFmt w:val="bullet"/>
      <w:lvlText w:val="•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8764F"/>
    <w:multiLevelType w:val="hybridMultilevel"/>
    <w:tmpl w:val="18548E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407207"/>
    <w:multiLevelType w:val="hybridMultilevel"/>
    <w:tmpl w:val="344E1474"/>
    <w:lvl w:ilvl="0" w:tplc="490EF6FC">
      <w:numFmt w:val="bullet"/>
      <w:lvlText w:val="-"/>
      <w:lvlJc w:val="left"/>
      <w:pPr>
        <w:ind w:left="360" w:hanging="360"/>
      </w:pPr>
      <w:rPr>
        <w:rFonts w:ascii="Verdana" w:eastAsiaTheme="minorHAnsi" w:hAnsi="Verdana" w:cs="Verdan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A63372"/>
    <w:multiLevelType w:val="hybridMultilevel"/>
    <w:tmpl w:val="CD942C9A"/>
    <w:lvl w:ilvl="0" w:tplc="66040D80">
      <w:numFmt w:val="bullet"/>
      <w:lvlText w:val="•"/>
      <w:lvlJc w:val="left"/>
      <w:pPr>
        <w:ind w:left="1420" w:hanging="70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595305"/>
    <w:multiLevelType w:val="hybridMultilevel"/>
    <w:tmpl w:val="FA8EC464"/>
    <w:lvl w:ilvl="0" w:tplc="F1F4A6AA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82ED1"/>
    <w:multiLevelType w:val="hybridMultilevel"/>
    <w:tmpl w:val="90EAC5E2"/>
    <w:lvl w:ilvl="0" w:tplc="04130017">
      <w:start w:val="1"/>
      <w:numFmt w:val="lowerLetter"/>
      <w:lvlText w:val="%1)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1B6C2B"/>
    <w:multiLevelType w:val="multilevel"/>
    <w:tmpl w:val="16DA0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B97ED7"/>
    <w:multiLevelType w:val="hybridMultilevel"/>
    <w:tmpl w:val="C9FC459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5F2326"/>
    <w:multiLevelType w:val="multilevel"/>
    <w:tmpl w:val="2F7E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A706E7"/>
    <w:multiLevelType w:val="hybridMultilevel"/>
    <w:tmpl w:val="C854F916"/>
    <w:lvl w:ilvl="0" w:tplc="6DC22F1C">
      <w:start w:val="1"/>
      <w:numFmt w:val="lowerLetter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A0E65"/>
    <w:multiLevelType w:val="hybridMultilevel"/>
    <w:tmpl w:val="D45C8D46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305602C"/>
    <w:multiLevelType w:val="hybridMultilevel"/>
    <w:tmpl w:val="A8902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D6FBB"/>
    <w:multiLevelType w:val="hybridMultilevel"/>
    <w:tmpl w:val="37262DB0"/>
    <w:lvl w:ilvl="0" w:tplc="F1F4A6AA">
      <w:numFmt w:val="bullet"/>
      <w:lvlText w:val="•"/>
      <w:lvlJc w:val="left"/>
      <w:pPr>
        <w:ind w:left="1070" w:hanging="71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65887"/>
    <w:multiLevelType w:val="multilevel"/>
    <w:tmpl w:val="FF421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5"/>
  </w:num>
  <w:num w:numId="5">
    <w:abstractNumId w:val="20"/>
  </w:num>
  <w:num w:numId="6">
    <w:abstractNumId w:val="13"/>
  </w:num>
  <w:num w:numId="7">
    <w:abstractNumId w:val="0"/>
  </w:num>
  <w:num w:numId="8">
    <w:abstractNumId w:val="2"/>
  </w:num>
  <w:num w:numId="9">
    <w:abstractNumId w:val="18"/>
  </w:num>
  <w:num w:numId="10">
    <w:abstractNumId w:val="17"/>
  </w:num>
  <w:num w:numId="11">
    <w:abstractNumId w:val="1"/>
  </w:num>
  <w:num w:numId="12">
    <w:abstractNumId w:val="10"/>
  </w:num>
  <w:num w:numId="13">
    <w:abstractNumId w:val="5"/>
  </w:num>
  <w:num w:numId="14">
    <w:abstractNumId w:val="7"/>
  </w:num>
  <w:num w:numId="15">
    <w:abstractNumId w:val="6"/>
  </w:num>
  <w:num w:numId="16">
    <w:abstractNumId w:val="11"/>
  </w:num>
  <w:num w:numId="17">
    <w:abstractNumId w:val="19"/>
  </w:num>
  <w:num w:numId="18">
    <w:abstractNumId w:val="8"/>
  </w:num>
  <w:num w:numId="19">
    <w:abstractNumId w:val="9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2A4"/>
    <w:rsid w:val="00006BDC"/>
    <w:rsid w:val="00020FFD"/>
    <w:rsid w:val="00030BCF"/>
    <w:rsid w:val="0004427B"/>
    <w:rsid w:val="00054C7C"/>
    <w:rsid w:val="0006571D"/>
    <w:rsid w:val="000831DC"/>
    <w:rsid w:val="00090E2D"/>
    <w:rsid w:val="000A2FA0"/>
    <w:rsid w:val="000B462C"/>
    <w:rsid w:val="000D15EE"/>
    <w:rsid w:val="000D69EE"/>
    <w:rsid w:val="00116C97"/>
    <w:rsid w:val="001237DF"/>
    <w:rsid w:val="00130AC5"/>
    <w:rsid w:val="00146574"/>
    <w:rsid w:val="0016150C"/>
    <w:rsid w:val="0017769F"/>
    <w:rsid w:val="00182CC5"/>
    <w:rsid w:val="00186BC1"/>
    <w:rsid w:val="001A62A4"/>
    <w:rsid w:val="001A6498"/>
    <w:rsid w:val="001B3776"/>
    <w:rsid w:val="001B4C5A"/>
    <w:rsid w:val="001B7C8F"/>
    <w:rsid w:val="001F0538"/>
    <w:rsid w:val="001F2842"/>
    <w:rsid w:val="001F69BD"/>
    <w:rsid w:val="0020729C"/>
    <w:rsid w:val="00211ED1"/>
    <w:rsid w:val="00215CE4"/>
    <w:rsid w:val="00215E44"/>
    <w:rsid w:val="00232AFE"/>
    <w:rsid w:val="0025231C"/>
    <w:rsid w:val="00264ABD"/>
    <w:rsid w:val="00293F31"/>
    <w:rsid w:val="002962A0"/>
    <w:rsid w:val="002D3AFB"/>
    <w:rsid w:val="002F0C18"/>
    <w:rsid w:val="002F7483"/>
    <w:rsid w:val="0030417B"/>
    <w:rsid w:val="00353EE8"/>
    <w:rsid w:val="003561C4"/>
    <w:rsid w:val="003652CD"/>
    <w:rsid w:val="00381E2D"/>
    <w:rsid w:val="00396889"/>
    <w:rsid w:val="003B12E6"/>
    <w:rsid w:val="003B2806"/>
    <w:rsid w:val="003E4C1E"/>
    <w:rsid w:val="00452253"/>
    <w:rsid w:val="0045377C"/>
    <w:rsid w:val="0045378F"/>
    <w:rsid w:val="0046277F"/>
    <w:rsid w:val="004A6286"/>
    <w:rsid w:val="004B1946"/>
    <w:rsid w:val="004B2BB8"/>
    <w:rsid w:val="004B60D2"/>
    <w:rsid w:val="004C7314"/>
    <w:rsid w:val="004E7988"/>
    <w:rsid w:val="004F1225"/>
    <w:rsid w:val="004F33D2"/>
    <w:rsid w:val="0053132F"/>
    <w:rsid w:val="005574E3"/>
    <w:rsid w:val="00571FF2"/>
    <w:rsid w:val="005742E1"/>
    <w:rsid w:val="005B6E76"/>
    <w:rsid w:val="005E59FE"/>
    <w:rsid w:val="006047CF"/>
    <w:rsid w:val="006052A4"/>
    <w:rsid w:val="006119B2"/>
    <w:rsid w:val="0061372B"/>
    <w:rsid w:val="0062083E"/>
    <w:rsid w:val="00635CBB"/>
    <w:rsid w:val="00642928"/>
    <w:rsid w:val="00646C5E"/>
    <w:rsid w:val="006471C9"/>
    <w:rsid w:val="006575F4"/>
    <w:rsid w:val="006618D9"/>
    <w:rsid w:val="00676F10"/>
    <w:rsid w:val="00695D90"/>
    <w:rsid w:val="006A32EE"/>
    <w:rsid w:val="006B3B74"/>
    <w:rsid w:val="006C44EF"/>
    <w:rsid w:val="006D4F7C"/>
    <w:rsid w:val="006E4086"/>
    <w:rsid w:val="006E5447"/>
    <w:rsid w:val="006F3002"/>
    <w:rsid w:val="007222D9"/>
    <w:rsid w:val="007262EB"/>
    <w:rsid w:val="00727BA7"/>
    <w:rsid w:val="00766FC8"/>
    <w:rsid w:val="007862AE"/>
    <w:rsid w:val="007A11A1"/>
    <w:rsid w:val="007A3D8E"/>
    <w:rsid w:val="007B0C67"/>
    <w:rsid w:val="007D2CA7"/>
    <w:rsid w:val="007D566A"/>
    <w:rsid w:val="00815622"/>
    <w:rsid w:val="008204BB"/>
    <w:rsid w:val="00822D84"/>
    <w:rsid w:val="008307AF"/>
    <w:rsid w:val="0083160C"/>
    <w:rsid w:val="00841371"/>
    <w:rsid w:val="008512C8"/>
    <w:rsid w:val="00865076"/>
    <w:rsid w:val="00876DD3"/>
    <w:rsid w:val="008A5891"/>
    <w:rsid w:val="008B38EC"/>
    <w:rsid w:val="008B7A29"/>
    <w:rsid w:val="008D64FB"/>
    <w:rsid w:val="00914A4C"/>
    <w:rsid w:val="00924AF5"/>
    <w:rsid w:val="00972A24"/>
    <w:rsid w:val="009748D2"/>
    <w:rsid w:val="0098769F"/>
    <w:rsid w:val="009A05B1"/>
    <w:rsid w:val="009A6082"/>
    <w:rsid w:val="009A6ED5"/>
    <w:rsid w:val="009B1A93"/>
    <w:rsid w:val="009C2AFF"/>
    <w:rsid w:val="009C5A33"/>
    <w:rsid w:val="009D2696"/>
    <w:rsid w:val="009F2B5B"/>
    <w:rsid w:val="00A00D1F"/>
    <w:rsid w:val="00A05E72"/>
    <w:rsid w:val="00A107B0"/>
    <w:rsid w:val="00A117E1"/>
    <w:rsid w:val="00A21D92"/>
    <w:rsid w:val="00A32547"/>
    <w:rsid w:val="00A3648B"/>
    <w:rsid w:val="00A410A9"/>
    <w:rsid w:val="00A4336E"/>
    <w:rsid w:val="00A73A14"/>
    <w:rsid w:val="00A837FD"/>
    <w:rsid w:val="00A954EC"/>
    <w:rsid w:val="00A96AC3"/>
    <w:rsid w:val="00A97006"/>
    <w:rsid w:val="00AD431B"/>
    <w:rsid w:val="00AE11C5"/>
    <w:rsid w:val="00AF0E33"/>
    <w:rsid w:val="00AF7D33"/>
    <w:rsid w:val="00B07B6E"/>
    <w:rsid w:val="00B314E3"/>
    <w:rsid w:val="00B47710"/>
    <w:rsid w:val="00B51229"/>
    <w:rsid w:val="00B631C7"/>
    <w:rsid w:val="00B76687"/>
    <w:rsid w:val="00B76F89"/>
    <w:rsid w:val="00B96FBF"/>
    <w:rsid w:val="00BB71DA"/>
    <w:rsid w:val="00BE469C"/>
    <w:rsid w:val="00C028E8"/>
    <w:rsid w:val="00C10AFC"/>
    <w:rsid w:val="00C10BC4"/>
    <w:rsid w:val="00C2378A"/>
    <w:rsid w:val="00C24A94"/>
    <w:rsid w:val="00C37473"/>
    <w:rsid w:val="00C44D1B"/>
    <w:rsid w:val="00C465B9"/>
    <w:rsid w:val="00C50541"/>
    <w:rsid w:val="00C512E1"/>
    <w:rsid w:val="00C76D50"/>
    <w:rsid w:val="00C9388F"/>
    <w:rsid w:val="00CB0208"/>
    <w:rsid w:val="00CB6196"/>
    <w:rsid w:val="00CD1EDE"/>
    <w:rsid w:val="00CD291F"/>
    <w:rsid w:val="00CF6E93"/>
    <w:rsid w:val="00D109D2"/>
    <w:rsid w:val="00D15DFA"/>
    <w:rsid w:val="00D16432"/>
    <w:rsid w:val="00D20086"/>
    <w:rsid w:val="00D437FC"/>
    <w:rsid w:val="00D47F13"/>
    <w:rsid w:val="00D905C7"/>
    <w:rsid w:val="00D9359C"/>
    <w:rsid w:val="00D95FD2"/>
    <w:rsid w:val="00DB0DE2"/>
    <w:rsid w:val="00DD53E4"/>
    <w:rsid w:val="00DE2C31"/>
    <w:rsid w:val="00DF2FE4"/>
    <w:rsid w:val="00E0393C"/>
    <w:rsid w:val="00E17BA0"/>
    <w:rsid w:val="00E2041D"/>
    <w:rsid w:val="00E2585C"/>
    <w:rsid w:val="00E93C48"/>
    <w:rsid w:val="00F00CE1"/>
    <w:rsid w:val="00F062E8"/>
    <w:rsid w:val="00F11DA9"/>
    <w:rsid w:val="00F17EE9"/>
    <w:rsid w:val="00F45C48"/>
    <w:rsid w:val="00F65192"/>
    <w:rsid w:val="00F80E2A"/>
    <w:rsid w:val="00F954CA"/>
    <w:rsid w:val="00FA2576"/>
    <w:rsid w:val="00FA443D"/>
    <w:rsid w:val="00FA762A"/>
    <w:rsid w:val="00FB373D"/>
    <w:rsid w:val="00FB76A8"/>
    <w:rsid w:val="00FC1BFC"/>
    <w:rsid w:val="00FE2F2D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77C"/>
  <w15:docId w15:val="{454C0198-E943-4876-ABB2-6CE60D4A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6575F4"/>
    <w:rPr>
      <w:rFonts w:ascii="Arial" w:hAnsi="Arial"/>
      <w:szCs w:val="24"/>
    </w:rPr>
  </w:style>
  <w:style w:type="paragraph" w:styleId="Kop1">
    <w:name w:val="heading 1"/>
    <w:basedOn w:val="Standaard"/>
    <w:next w:val="Standaard"/>
    <w:link w:val="Kop1Char"/>
    <w:qFormat/>
    <w:rsid w:val="00215CE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Kop2">
    <w:name w:val="heading 2"/>
    <w:basedOn w:val="Standaard"/>
    <w:next w:val="Standaard"/>
    <w:link w:val="Kop2Char"/>
    <w:qFormat/>
    <w:rsid w:val="00215CE4"/>
    <w:pPr>
      <w:keepNext/>
      <w:spacing w:before="240" w:after="60"/>
      <w:outlineLvl w:val="1"/>
    </w:pPr>
    <w:rPr>
      <w:rFonts w:cs="Arial"/>
      <w:b/>
      <w:bCs/>
      <w:i/>
      <w:iCs/>
      <w:szCs w:val="28"/>
    </w:rPr>
  </w:style>
  <w:style w:type="paragraph" w:styleId="Kop3">
    <w:name w:val="heading 3"/>
    <w:basedOn w:val="Standaard"/>
    <w:next w:val="Standaard"/>
    <w:link w:val="Kop3Char"/>
    <w:qFormat/>
    <w:rsid w:val="00215CE4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15CE4"/>
    <w:rPr>
      <w:rFonts w:ascii="Arial" w:hAnsi="Arial" w:cs="Arial"/>
      <w:b/>
      <w:bCs/>
      <w:kern w:val="32"/>
      <w:sz w:val="24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rsid w:val="00215CE4"/>
    <w:rPr>
      <w:rFonts w:ascii="Arial" w:hAnsi="Arial" w:cs="Arial"/>
      <w:b/>
      <w:bCs/>
      <w:i/>
      <w:iCs/>
      <w:sz w:val="22"/>
      <w:szCs w:val="28"/>
      <w:lang w:eastAsia="en-US"/>
    </w:rPr>
  </w:style>
  <w:style w:type="character" w:customStyle="1" w:styleId="Kop3Char">
    <w:name w:val="Kop 3 Char"/>
    <w:basedOn w:val="Standaardalinea-lettertype"/>
    <w:link w:val="Kop3"/>
    <w:rsid w:val="00215CE4"/>
    <w:rPr>
      <w:rFonts w:ascii="Arial" w:hAnsi="Arial" w:cs="Arial"/>
      <w:b/>
      <w:bCs/>
      <w:sz w:val="22"/>
      <w:szCs w:val="26"/>
      <w:lang w:eastAsia="en-US"/>
    </w:rPr>
  </w:style>
  <w:style w:type="paragraph" w:customStyle="1" w:styleId="Opmaakprofiel4">
    <w:name w:val="Opmaakprofiel4"/>
    <w:basedOn w:val="Standaard"/>
    <w:qFormat/>
    <w:rsid w:val="00215CE4"/>
    <w:pPr>
      <w:spacing w:after="200"/>
    </w:pPr>
    <w:rPr>
      <w:rFonts w:ascii="Calibri" w:eastAsia="Calibri" w:hAnsi="Calibri"/>
      <w:b/>
      <w:sz w:val="28"/>
      <w:szCs w:val="22"/>
    </w:rPr>
  </w:style>
  <w:style w:type="table" w:styleId="Tabelraster">
    <w:name w:val="Table Grid"/>
    <w:basedOn w:val="Standaardtabel"/>
    <w:uiPriority w:val="59"/>
    <w:rsid w:val="00CF6E93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D566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B462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B462C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7B0C67"/>
    <w:rPr>
      <w:rFonts w:ascii="Arial" w:hAnsi="Arial"/>
      <w:szCs w:val="24"/>
    </w:rPr>
  </w:style>
  <w:style w:type="paragraph" w:customStyle="1" w:styleId="Default">
    <w:name w:val="Default"/>
    <w:rsid w:val="006047C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AF5E6-CD26-804A-AB1F-B36CA26B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Bergen-NH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petbo</dc:creator>
  <cp:lastModifiedBy>S &amp; D</cp:lastModifiedBy>
  <cp:revision>2</cp:revision>
  <cp:lastPrinted>2018-02-04T15:37:00Z</cp:lastPrinted>
  <dcterms:created xsi:type="dcterms:W3CDTF">2021-03-04T13:20:00Z</dcterms:created>
  <dcterms:modified xsi:type="dcterms:W3CDTF">2021-03-04T13:20:00Z</dcterms:modified>
</cp:coreProperties>
</file>