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6A6" w:rsidRPr="005A56A6" w:rsidRDefault="005A56A6">
      <w:pPr>
        <w:rPr>
          <w:b/>
          <w:lang w:val="nl-NL"/>
        </w:rPr>
      </w:pPr>
      <w:r>
        <w:rPr>
          <w:b/>
          <w:lang w:val="nl-NL"/>
        </w:rPr>
        <w:t>B</w:t>
      </w:r>
      <w:r w:rsidRPr="005A56A6">
        <w:rPr>
          <w:b/>
          <w:lang w:val="nl-NL"/>
        </w:rPr>
        <w:t xml:space="preserve">elangrijkste uitkomsten </w:t>
      </w:r>
      <w:r>
        <w:rPr>
          <w:b/>
          <w:lang w:val="nl-NL"/>
        </w:rPr>
        <w:t xml:space="preserve">van </w:t>
      </w:r>
      <w:r w:rsidRPr="005A56A6">
        <w:rPr>
          <w:b/>
          <w:lang w:val="nl-NL"/>
        </w:rPr>
        <w:t>behandeling Omgevingswet in de Eerste Kamer</w:t>
      </w:r>
    </w:p>
    <w:p w:rsidR="00DC6E6A" w:rsidRDefault="00273498">
      <w:pPr>
        <w:rPr>
          <w:lang w:val="nl-NL"/>
        </w:rPr>
      </w:pPr>
      <w:r>
        <w:rPr>
          <w:lang w:val="nl-NL"/>
        </w:rPr>
        <w:t xml:space="preserve">De Omgevingswet is een stap dichterbij gekomen na de behandeling in de Eerste Kamer van de Invoeringswet Omgevingswet. Dichterbij betekent niet dat het nu zeker is dat de Omgevingswet per 1 januari 2021 ook daadwerkelijk in werking gaat treden. Daarvoor zijn nog een aantal belangrijke hobbels te nemen. </w:t>
      </w:r>
    </w:p>
    <w:p w:rsidR="005A56A6" w:rsidRPr="005A56A6" w:rsidRDefault="005A56A6">
      <w:pPr>
        <w:rPr>
          <w:b/>
          <w:lang w:val="nl-NL"/>
        </w:rPr>
      </w:pPr>
      <w:r w:rsidRPr="005A56A6">
        <w:rPr>
          <w:b/>
          <w:lang w:val="nl-NL"/>
        </w:rPr>
        <w:t>Toezeggingen minister</w:t>
      </w:r>
    </w:p>
    <w:p w:rsidR="00273498" w:rsidRDefault="00273498">
      <w:pPr>
        <w:rPr>
          <w:lang w:val="nl-NL"/>
        </w:rPr>
      </w:pPr>
      <w:r>
        <w:rPr>
          <w:lang w:val="nl-NL"/>
        </w:rPr>
        <w:t>Wel zijn er na de behandeling in de Tweede en Eerste Kamer een paar, voor ons als PvdA, zeer belangrijke toezeggingen gedaan door de minister. Hierbij gaat het onder andere om:</w:t>
      </w:r>
    </w:p>
    <w:p w:rsidR="00273498" w:rsidRDefault="00273498" w:rsidP="00273498">
      <w:pPr>
        <w:pStyle w:val="Lijstalinea"/>
        <w:numPr>
          <w:ilvl w:val="0"/>
          <w:numId w:val="1"/>
        </w:numPr>
        <w:rPr>
          <w:lang w:val="nl-NL"/>
        </w:rPr>
      </w:pPr>
      <w:r>
        <w:rPr>
          <w:lang w:val="nl-NL"/>
        </w:rPr>
        <w:t>De begeleiding van de invoering nu en na de inwerkingtreding van de Omgevingswet</w:t>
      </w:r>
      <w:r w:rsidR="00C53E0E">
        <w:rPr>
          <w:lang w:val="nl-NL"/>
        </w:rPr>
        <w:t>;</w:t>
      </w:r>
    </w:p>
    <w:p w:rsidR="00273498" w:rsidRDefault="00273498" w:rsidP="00273498">
      <w:pPr>
        <w:pStyle w:val="Lijstalinea"/>
        <w:numPr>
          <w:ilvl w:val="0"/>
          <w:numId w:val="1"/>
        </w:numPr>
        <w:rPr>
          <w:lang w:val="nl-NL"/>
        </w:rPr>
      </w:pPr>
      <w:r>
        <w:rPr>
          <w:lang w:val="nl-NL"/>
        </w:rPr>
        <w:t>De toetsing op de werking van en de toegankelijkheid van het DSO (het digitale stelsel omgevingswet)</w:t>
      </w:r>
      <w:r w:rsidR="00C53E0E">
        <w:rPr>
          <w:lang w:val="nl-NL"/>
        </w:rPr>
        <w:t>;</w:t>
      </w:r>
    </w:p>
    <w:p w:rsidR="00273498" w:rsidRDefault="00273498" w:rsidP="00273498">
      <w:pPr>
        <w:pStyle w:val="Lijstalinea"/>
        <w:numPr>
          <w:ilvl w:val="0"/>
          <w:numId w:val="1"/>
        </w:numPr>
        <w:rPr>
          <w:lang w:val="nl-NL"/>
        </w:rPr>
      </w:pPr>
      <w:r>
        <w:rPr>
          <w:lang w:val="nl-NL"/>
        </w:rPr>
        <w:t>De aanwezigheid van fysieke plekken (dus niet de beperking tot een digitaal loket)  in iedere gemeente waar je terecht kunt als aanvrager en participant</w:t>
      </w:r>
      <w:r w:rsidR="00C53E0E">
        <w:rPr>
          <w:lang w:val="nl-NL"/>
        </w:rPr>
        <w:t>;</w:t>
      </w:r>
    </w:p>
    <w:p w:rsidR="00273498" w:rsidRDefault="00273498" w:rsidP="00273498">
      <w:pPr>
        <w:pStyle w:val="Lijstalinea"/>
        <w:numPr>
          <w:ilvl w:val="0"/>
          <w:numId w:val="1"/>
        </w:numPr>
        <w:rPr>
          <w:lang w:val="nl-NL"/>
        </w:rPr>
      </w:pPr>
      <w:r>
        <w:rPr>
          <w:lang w:val="nl-NL"/>
        </w:rPr>
        <w:t>Het verankeren van het participatiebeleid in het invoeringsbesluit door middel van een participatieverordening per gemeente.</w:t>
      </w:r>
    </w:p>
    <w:p w:rsidR="005A56A6" w:rsidRPr="005A56A6" w:rsidRDefault="005A56A6" w:rsidP="00273498">
      <w:pPr>
        <w:rPr>
          <w:b/>
          <w:lang w:val="nl-NL"/>
        </w:rPr>
      </w:pPr>
      <w:r w:rsidRPr="005A56A6">
        <w:rPr>
          <w:b/>
          <w:lang w:val="nl-NL"/>
        </w:rPr>
        <w:t>Resterende hobbels</w:t>
      </w:r>
    </w:p>
    <w:p w:rsidR="00C53E0E" w:rsidRDefault="00273498" w:rsidP="00273498">
      <w:pPr>
        <w:rPr>
          <w:lang w:val="nl-NL"/>
        </w:rPr>
      </w:pPr>
      <w:r>
        <w:rPr>
          <w:lang w:val="nl-NL"/>
        </w:rPr>
        <w:t xml:space="preserve">Dit betekent niet dat nu alle hobbels beslecht zijn. De Kamer zal bij het inwerkingtredingsbesluit opnieuw de balans opmaken. Belangrijke punten </w:t>
      </w:r>
      <w:r w:rsidR="005F54D9">
        <w:rPr>
          <w:lang w:val="nl-NL"/>
        </w:rPr>
        <w:t xml:space="preserve">zijn </w:t>
      </w:r>
      <w:r>
        <w:rPr>
          <w:lang w:val="nl-NL"/>
        </w:rPr>
        <w:t xml:space="preserve">dan </w:t>
      </w:r>
      <w:r w:rsidR="005F54D9">
        <w:rPr>
          <w:lang w:val="nl-NL"/>
        </w:rPr>
        <w:t>onder andere</w:t>
      </w:r>
      <w:r>
        <w:rPr>
          <w:lang w:val="nl-NL"/>
        </w:rPr>
        <w:t xml:space="preserve">: </w:t>
      </w:r>
    </w:p>
    <w:p w:rsidR="00273498" w:rsidRDefault="00C53E0E" w:rsidP="00C53E0E">
      <w:pPr>
        <w:pStyle w:val="Lijstalinea"/>
        <w:numPr>
          <w:ilvl w:val="0"/>
          <w:numId w:val="1"/>
        </w:numPr>
        <w:rPr>
          <w:lang w:val="nl-NL"/>
        </w:rPr>
      </w:pPr>
      <w:r>
        <w:rPr>
          <w:lang w:val="nl-NL"/>
        </w:rPr>
        <w:t>W</w:t>
      </w:r>
      <w:r w:rsidR="00273498" w:rsidRPr="00C53E0E">
        <w:rPr>
          <w:lang w:val="nl-NL"/>
        </w:rPr>
        <w:t>erkt de ICT ondersteuningsstructuur (het DSO) en zijn gemeenten, provincies en waterschappen klaar voor hun nieuwe rol</w:t>
      </w:r>
      <w:r w:rsidR="00861AC7">
        <w:rPr>
          <w:lang w:val="nl-NL"/>
        </w:rPr>
        <w:t xml:space="preserve"> (halverwege 2020 wordt dit getoetst);</w:t>
      </w:r>
    </w:p>
    <w:p w:rsidR="00752E0B" w:rsidRDefault="00752E0B" w:rsidP="00C53E0E">
      <w:pPr>
        <w:pStyle w:val="Lijstalinea"/>
        <w:numPr>
          <w:ilvl w:val="0"/>
          <w:numId w:val="1"/>
        </w:numPr>
        <w:rPr>
          <w:lang w:val="nl-NL"/>
        </w:rPr>
      </w:pPr>
      <w:r>
        <w:rPr>
          <w:lang w:val="nl-NL"/>
        </w:rPr>
        <w:t>Als het DSO niet op tijd klaar is, wordt de invoering uitgesteld;</w:t>
      </w:r>
    </w:p>
    <w:p w:rsidR="005F54D9" w:rsidRDefault="005F54D9" w:rsidP="00C53E0E">
      <w:pPr>
        <w:pStyle w:val="Lijstalinea"/>
        <w:numPr>
          <w:ilvl w:val="0"/>
          <w:numId w:val="1"/>
        </w:numPr>
        <w:rPr>
          <w:lang w:val="nl-NL"/>
        </w:rPr>
      </w:pPr>
      <w:r>
        <w:rPr>
          <w:lang w:val="nl-NL"/>
        </w:rPr>
        <w:t>De omgevingswet bevat het wettelijk kader voor de normstelling;</w:t>
      </w:r>
    </w:p>
    <w:p w:rsidR="005F54D9" w:rsidRDefault="005F54D9" w:rsidP="00C53E0E">
      <w:pPr>
        <w:pStyle w:val="Lijstalinea"/>
        <w:numPr>
          <w:ilvl w:val="0"/>
          <w:numId w:val="1"/>
        </w:numPr>
        <w:rPr>
          <w:lang w:val="nl-NL"/>
        </w:rPr>
      </w:pPr>
      <w:r>
        <w:rPr>
          <w:lang w:val="nl-NL"/>
        </w:rPr>
        <w:t xml:space="preserve">De invoeringswet en aanvullingswetten bevatten instrumenten, procedures en rechtsbescherming en geven sturing aan de inhoudelijke normstelling onder meer om Europese regels uit te voeren. De uitwerking van concrete normen gebeurt </w:t>
      </w:r>
      <w:r w:rsidR="009944D7">
        <w:rPr>
          <w:lang w:val="nl-NL"/>
        </w:rPr>
        <w:t xml:space="preserve">via </w:t>
      </w:r>
      <w:r>
        <w:rPr>
          <w:lang w:val="nl-NL"/>
        </w:rPr>
        <w:t>Algemene Maatregelen van Bestuur.</w:t>
      </w:r>
    </w:p>
    <w:p w:rsidR="005A56A6" w:rsidRPr="00681F70" w:rsidRDefault="00681F70" w:rsidP="005A56A6">
      <w:pPr>
        <w:rPr>
          <w:b/>
          <w:lang w:val="nl-NL"/>
        </w:rPr>
      </w:pPr>
      <w:r w:rsidRPr="00681F70">
        <w:rPr>
          <w:b/>
          <w:lang w:val="nl-NL"/>
        </w:rPr>
        <w:t>De ‘</w:t>
      </w:r>
      <w:proofErr w:type="spellStart"/>
      <w:r w:rsidRPr="00681F70">
        <w:rPr>
          <w:b/>
          <w:lang w:val="nl-NL"/>
        </w:rPr>
        <w:t>bruidschat</w:t>
      </w:r>
      <w:proofErr w:type="spellEnd"/>
      <w:r w:rsidRPr="00681F70">
        <w:rPr>
          <w:b/>
          <w:lang w:val="nl-NL"/>
        </w:rPr>
        <w:t>’</w:t>
      </w:r>
    </w:p>
    <w:p w:rsidR="009330A2" w:rsidRDefault="005F54D9" w:rsidP="005F54D9">
      <w:pPr>
        <w:rPr>
          <w:lang w:val="nl-NL"/>
        </w:rPr>
      </w:pPr>
      <w:r>
        <w:rPr>
          <w:lang w:val="nl-NL"/>
        </w:rPr>
        <w:t>De wet bevat meer bestuurlijke afwegingsruimte voor gemeenten, provincies en waterschappen.</w:t>
      </w:r>
      <w:r w:rsidR="009330A2">
        <w:rPr>
          <w:lang w:val="nl-NL"/>
        </w:rPr>
        <w:t xml:space="preserve"> Dit geldt echter niet voor alles. In d</w:t>
      </w:r>
      <w:r w:rsidR="00681F70">
        <w:rPr>
          <w:lang w:val="nl-NL"/>
        </w:rPr>
        <w:t>i</w:t>
      </w:r>
      <w:r w:rsidR="009330A2">
        <w:rPr>
          <w:lang w:val="nl-NL"/>
        </w:rPr>
        <w:t>t verband is de term ‘</w:t>
      </w:r>
      <w:proofErr w:type="spellStart"/>
      <w:r w:rsidR="009330A2">
        <w:rPr>
          <w:lang w:val="nl-NL"/>
        </w:rPr>
        <w:t>bruidschat</w:t>
      </w:r>
      <w:proofErr w:type="spellEnd"/>
      <w:r w:rsidR="009330A2">
        <w:rPr>
          <w:lang w:val="nl-NL"/>
        </w:rPr>
        <w:t>’ van belang. Hiermee wordt bedoeld dat de huidige regels en kaders gedecentraliseerd worden. Dit zijn dan de standaardwaarden. Gemeenten mogen hier (beperkt) van afwijk</w:t>
      </w:r>
      <w:r w:rsidR="00861AC7">
        <w:rPr>
          <w:lang w:val="nl-NL"/>
        </w:rPr>
        <w:t>en</w:t>
      </w:r>
      <w:r w:rsidR="009330A2">
        <w:rPr>
          <w:lang w:val="nl-NL"/>
        </w:rPr>
        <w:t xml:space="preserve">. De standaardwaarden hebben </w:t>
      </w:r>
      <w:r w:rsidR="00861AC7">
        <w:rPr>
          <w:lang w:val="nl-NL"/>
        </w:rPr>
        <w:t xml:space="preserve">daarom </w:t>
      </w:r>
      <w:r w:rsidR="009330A2">
        <w:rPr>
          <w:lang w:val="nl-NL"/>
        </w:rPr>
        <w:t>grenswaarden (dit is de plus</w:t>
      </w:r>
      <w:r w:rsidR="00861AC7">
        <w:rPr>
          <w:lang w:val="nl-NL"/>
        </w:rPr>
        <w:t>-</w:t>
      </w:r>
      <w:r w:rsidR="009330A2">
        <w:rPr>
          <w:lang w:val="nl-NL"/>
        </w:rPr>
        <w:t xml:space="preserve"> en minruimte ten opzichte van de standaardwaarde) waarbinnen de decentrale overheid zijn eigen regels kan vastleggen. Doet een gemeente dat, dan moet zij dit wel motiveren. </w:t>
      </w:r>
    </w:p>
    <w:p w:rsidR="009330A2" w:rsidRDefault="009330A2" w:rsidP="005F54D9">
      <w:pPr>
        <w:rPr>
          <w:lang w:val="nl-NL"/>
        </w:rPr>
      </w:pPr>
      <w:r>
        <w:rPr>
          <w:lang w:val="nl-NL"/>
        </w:rPr>
        <w:t xml:space="preserve">In relatie tot de standaard – en grenswaarden zijn drie waarborgen: </w:t>
      </w:r>
    </w:p>
    <w:p w:rsidR="009330A2" w:rsidRDefault="009330A2" w:rsidP="009330A2">
      <w:pPr>
        <w:pStyle w:val="Lijstalinea"/>
        <w:numPr>
          <w:ilvl w:val="0"/>
          <w:numId w:val="1"/>
        </w:numPr>
        <w:rPr>
          <w:lang w:val="nl-NL"/>
        </w:rPr>
      </w:pPr>
      <w:r w:rsidRPr="009330A2">
        <w:rPr>
          <w:lang w:val="nl-NL"/>
        </w:rPr>
        <w:t>Bij (dreigende) overtreding dient de gemeente/provincie of het waterschap op te treden</w:t>
      </w:r>
      <w:r>
        <w:rPr>
          <w:lang w:val="nl-NL"/>
        </w:rPr>
        <w:t>;</w:t>
      </w:r>
    </w:p>
    <w:p w:rsidR="009330A2" w:rsidRDefault="009330A2" w:rsidP="009330A2">
      <w:pPr>
        <w:pStyle w:val="Lijstalinea"/>
        <w:numPr>
          <w:ilvl w:val="0"/>
          <w:numId w:val="1"/>
        </w:numPr>
        <w:rPr>
          <w:lang w:val="nl-NL"/>
        </w:rPr>
      </w:pPr>
      <w:r>
        <w:rPr>
          <w:lang w:val="nl-NL"/>
        </w:rPr>
        <w:t>Bij milieubelastende activiteiten moet altijd de best beschikbare (veelal de meest recente) technologie worden toegepast;</w:t>
      </w:r>
    </w:p>
    <w:p w:rsidR="009330A2" w:rsidRDefault="009330A2" w:rsidP="009330A2">
      <w:pPr>
        <w:pStyle w:val="Lijstalinea"/>
        <w:numPr>
          <w:ilvl w:val="0"/>
          <w:numId w:val="1"/>
        </w:numPr>
        <w:rPr>
          <w:lang w:val="nl-NL"/>
        </w:rPr>
      </w:pPr>
      <w:r>
        <w:rPr>
          <w:lang w:val="nl-NL"/>
        </w:rPr>
        <w:lastRenderedPageBreak/>
        <w:t>Gemeenten en provincies mogen eigen strengere omgevingswaarden voor luchtkwaliteit hanteren.</w:t>
      </w:r>
    </w:p>
    <w:p w:rsidR="00861AC7" w:rsidRDefault="009944D7" w:rsidP="009330A2">
      <w:pPr>
        <w:rPr>
          <w:lang w:val="nl-NL"/>
        </w:rPr>
      </w:pPr>
      <w:r>
        <w:rPr>
          <w:lang w:val="nl-NL"/>
        </w:rPr>
        <w:t xml:space="preserve">De mogelijkheid om advies in te </w:t>
      </w:r>
      <w:r w:rsidR="00861AC7">
        <w:rPr>
          <w:lang w:val="nl-NL"/>
        </w:rPr>
        <w:t xml:space="preserve">kunnen </w:t>
      </w:r>
      <w:r>
        <w:rPr>
          <w:lang w:val="nl-NL"/>
        </w:rPr>
        <w:t xml:space="preserve">winnen wordt geregeld. Dit kan bijvoorbeeld met een onafhankelijke adviescommissie bouwregelgeving. </w:t>
      </w:r>
    </w:p>
    <w:p w:rsidR="00681F70" w:rsidRPr="00681F70" w:rsidRDefault="00681F70" w:rsidP="009330A2">
      <w:pPr>
        <w:rPr>
          <w:b/>
          <w:lang w:val="nl-NL"/>
        </w:rPr>
      </w:pPr>
      <w:r w:rsidRPr="00681F70">
        <w:rPr>
          <w:b/>
          <w:lang w:val="nl-NL"/>
        </w:rPr>
        <w:t>Verdere uitwerking nationale omgevingsvisie</w:t>
      </w:r>
    </w:p>
    <w:p w:rsidR="009330A2" w:rsidRPr="009330A2" w:rsidRDefault="009944D7" w:rsidP="009330A2">
      <w:pPr>
        <w:rPr>
          <w:lang w:val="nl-NL"/>
        </w:rPr>
      </w:pPr>
      <w:r>
        <w:rPr>
          <w:lang w:val="nl-NL"/>
        </w:rPr>
        <w:t>De NOVI (nationale omgevingsvisie) wordt in maart verder uitgewerkt. De ministier heeft daarvoor een brief toegezegd met daarin dat de NOVI steviger wordt dan tot nu toe in de voorstellen is verwoord. In de brief wordt verder ingegaan op de thema</w:t>
      </w:r>
      <w:r w:rsidR="00681F70">
        <w:rPr>
          <w:lang w:val="nl-NL"/>
        </w:rPr>
        <w:t>’</w:t>
      </w:r>
      <w:r>
        <w:rPr>
          <w:lang w:val="nl-NL"/>
        </w:rPr>
        <w:t>s N</w:t>
      </w:r>
      <w:r w:rsidR="00681F70">
        <w:rPr>
          <w:lang w:val="nl-NL"/>
        </w:rPr>
        <w:t xml:space="preserve">OVI, </w:t>
      </w:r>
      <w:r>
        <w:rPr>
          <w:lang w:val="nl-NL"/>
        </w:rPr>
        <w:t xml:space="preserve">klimaatadaptie en energietransitie, duurzaam economisch groeipotentieel, sterke en gezonde regio’s, en toekomst bestendig landelijk gebied. Als wat decentraal wordt gedaan niet toereikend, moet het </w:t>
      </w:r>
      <w:r w:rsidR="00681F70">
        <w:rPr>
          <w:lang w:val="nl-NL"/>
        </w:rPr>
        <w:t>R</w:t>
      </w:r>
      <w:r>
        <w:rPr>
          <w:lang w:val="nl-NL"/>
        </w:rPr>
        <w:t xml:space="preserve">ijk regie nemen. </w:t>
      </w:r>
    </w:p>
    <w:p w:rsidR="00681F70" w:rsidRPr="00681F70" w:rsidRDefault="00797B87" w:rsidP="00861AC7">
      <w:pPr>
        <w:rPr>
          <w:b/>
          <w:lang w:val="nl-NL"/>
        </w:rPr>
      </w:pPr>
      <w:r>
        <w:rPr>
          <w:b/>
          <w:lang w:val="nl-NL"/>
        </w:rPr>
        <w:t>Ondersteuning voorbereiding blijft</w:t>
      </w:r>
    </w:p>
    <w:p w:rsidR="009944D7" w:rsidRPr="00861AC7" w:rsidRDefault="005F54D9" w:rsidP="00861AC7">
      <w:pPr>
        <w:rPr>
          <w:lang w:val="nl-NL"/>
        </w:rPr>
      </w:pPr>
      <w:r w:rsidRPr="00861AC7">
        <w:rPr>
          <w:lang w:val="nl-NL"/>
        </w:rPr>
        <w:t>Ter voorbereiding op</w:t>
      </w:r>
      <w:r w:rsidR="00681F70">
        <w:rPr>
          <w:lang w:val="nl-NL"/>
        </w:rPr>
        <w:t xml:space="preserve"> de Omgevingswet</w:t>
      </w:r>
      <w:r w:rsidRPr="00861AC7">
        <w:rPr>
          <w:lang w:val="nl-NL"/>
        </w:rPr>
        <w:t xml:space="preserve"> is er een breed ondersteuningsprogramma met bijeenkomst</w:t>
      </w:r>
      <w:r w:rsidR="009330A2" w:rsidRPr="00861AC7">
        <w:rPr>
          <w:lang w:val="nl-NL"/>
        </w:rPr>
        <w:t>en</w:t>
      </w:r>
      <w:r w:rsidRPr="00861AC7">
        <w:rPr>
          <w:lang w:val="nl-NL"/>
        </w:rPr>
        <w:t xml:space="preserve"> en handreikingen.</w:t>
      </w:r>
      <w:r w:rsidR="00CD6A19" w:rsidRPr="00861AC7">
        <w:rPr>
          <w:lang w:val="nl-NL"/>
        </w:rPr>
        <w:t xml:space="preserve"> </w:t>
      </w:r>
      <w:r w:rsidR="009944D7" w:rsidRPr="00861AC7">
        <w:rPr>
          <w:lang w:val="nl-NL"/>
        </w:rPr>
        <w:t xml:space="preserve">De regionale ondersteuningsteams blijven en houden aandacht voor de cultuurverandering en ambtelijke organisatie en het (leren) betrekken van burgers bij de </w:t>
      </w:r>
      <w:r w:rsidR="00681F70">
        <w:rPr>
          <w:lang w:val="nl-NL"/>
        </w:rPr>
        <w:t>O</w:t>
      </w:r>
      <w:r w:rsidR="009944D7" w:rsidRPr="00861AC7">
        <w:rPr>
          <w:lang w:val="nl-NL"/>
        </w:rPr>
        <w:t>mgevingswet (activiteiten) in ieder geval tot 2025.</w:t>
      </w:r>
    </w:p>
    <w:p w:rsidR="00797B87" w:rsidRPr="00797B87" w:rsidRDefault="00797B87" w:rsidP="009944D7">
      <w:pPr>
        <w:rPr>
          <w:b/>
          <w:lang w:val="nl-NL"/>
        </w:rPr>
      </w:pPr>
      <w:r w:rsidRPr="00797B87">
        <w:rPr>
          <w:b/>
          <w:lang w:val="nl-NL"/>
        </w:rPr>
        <w:t xml:space="preserve">Systematisch monitoren </w:t>
      </w:r>
    </w:p>
    <w:p w:rsidR="005F54D9" w:rsidRDefault="00F96B8D" w:rsidP="009944D7">
      <w:pPr>
        <w:rPr>
          <w:lang w:val="nl-NL"/>
        </w:rPr>
      </w:pPr>
      <w:r>
        <w:rPr>
          <w:lang w:val="nl-NL"/>
        </w:rPr>
        <w:t>H</w:t>
      </w:r>
      <w:r w:rsidR="009944D7">
        <w:rPr>
          <w:lang w:val="nl-NL"/>
        </w:rPr>
        <w:t xml:space="preserve">et monitoren van de invoering van de omgevingswet </w:t>
      </w:r>
      <w:r>
        <w:rPr>
          <w:lang w:val="nl-NL"/>
        </w:rPr>
        <w:t>wordt systematisch gedaan onder andere op de balans tussen beschermen en benutten, de cultuurverandering en de risico regelreflex. De formele evaluatie wordt jaarlijks gedaan en uitgevoerd door een onafhankelijke evaluatiecommissie.</w:t>
      </w:r>
    </w:p>
    <w:p w:rsidR="00F96B8D" w:rsidRDefault="00F96B8D" w:rsidP="009944D7">
      <w:pPr>
        <w:rPr>
          <w:lang w:val="nl-NL"/>
        </w:rPr>
      </w:pPr>
      <w:r>
        <w:rPr>
          <w:lang w:val="nl-NL"/>
        </w:rPr>
        <w:t xml:space="preserve">Voor het moment van invoering van de Omgevingswet moeten </w:t>
      </w:r>
      <w:r w:rsidR="00797B87">
        <w:rPr>
          <w:lang w:val="nl-NL"/>
        </w:rPr>
        <w:t xml:space="preserve">de volgende zaken </w:t>
      </w:r>
      <w:r>
        <w:rPr>
          <w:lang w:val="nl-NL"/>
        </w:rPr>
        <w:t>op orde zijn:</w:t>
      </w:r>
    </w:p>
    <w:p w:rsidR="00F96B8D" w:rsidRDefault="00F96B8D" w:rsidP="00F96B8D">
      <w:pPr>
        <w:pStyle w:val="Lijstalinea"/>
        <w:numPr>
          <w:ilvl w:val="0"/>
          <w:numId w:val="1"/>
        </w:numPr>
        <w:rPr>
          <w:lang w:val="nl-NL"/>
        </w:rPr>
      </w:pPr>
      <w:r>
        <w:rPr>
          <w:lang w:val="nl-NL"/>
        </w:rPr>
        <w:t xml:space="preserve">De omgevingsvisies van </w:t>
      </w:r>
      <w:r w:rsidR="00797B87">
        <w:rPr>
          <w:lang w:val="nl-NL"/>
        </w:rPr>
        <w:t>R</w:t>
      </w:r>
      <w:r>
        <w:rPr>
          <w:lang w:val="nl-NL"/>
        </w:rPr>
        <w:t>ijk en provincies</w:t>
      </w:r>
      <w:r w:rsidR="00797B87">
        <w:rPr>
          <w:lang w:val="nl-NL"/>
        </w:rPr>
        <w:t>:</w:t>
      </w:r>
      <w:r>
        <w:rPr>
          <w:lang w:val="nl-NL"/>
        </w:rPr>
        <w:t xml:space="preserve"> deze moeten zijn vastgesteld door </w:t>
      </w:r>
      <w:r w:rsidR="00797B87">
        <w:rPr>
          <w:lang w:val="nl-NL"/>
        </w:rPr>
        <w:t>K</w:t>
      </w:r>
      <w:r>
        <w:rPr>
          <w:lang w:val="nl-NL"/>
        </w:rPr>
        <w:t>amer en Staten</w:t>
      </w:r>
      <w:r w:rsidR="00797B87">
        <w:rPr>
          <w:lang w:val="nl-NL"/>
        </w:rPr>
        <w:t>;</w:t>
      </w:r>
    </w:p>
    <w:p w:rsidR="00F96B8D" w:rsidRDefault="00F96B8D" w:rsidP="00F96B8D">
      <w:pPr>
        <w:pStyle w:val="Lijstalinea"/>
        <w:numPr>
          <w:ilvl w:val="0"/>
          <w:numId w:val="1"/>
        </w:numPr>
        <w:rPr>
          <w:lang w:val="nl-NL"/>
        </w:rPr>
      </w:pPr>
      <w:r>
        <w:rPr>
          <w:lang w:val="nl-NL"/>
        </w:rPr>
        <w:t>De voor de Staten vastgestelde omgevingsverordeningen en de beschikbaarheid daarvan via het landelijke DSO</w:t>
      </w:r>
      <w:r w:rsidR="00797B87">
        <w:rPr>
          <w:lang w:val="nl-NL"/>
        </w:rPr>
        <w:t xml:space="preserve">; </w:t>
      </w:r>
    </w:p>
    <w:p w:rsidR="00F96B8D" w:rsidRPr="00F96B8D" w:rsidRDefault="00F96B8D" w:rsidP="00F96B8D">
      <w:pPr>
        <w:pStyle w:val="Lijstalinea"/>
        <w:numPr>
          <w:ilvl w:val="0"/>
          <w:numId w:val="1"/>
        </w:numPr>
        <w:rPr>
          <w:lang w:val="nl-NL"/>
        </w:rPr>
      </w:pPr>
      <w:r>
        <w:rPr>
          <w:lang w:val="nl-NL"/>
        </w:rPr>
        <w:t xml:space="preserve">De verplichting om projectbesluiten </w:t>
      </w:r>
      <w:r w:rsidR="00797B87">
        <w:rPr>
          <w:lang w:val="nl-NL"/>
        </w:rPr>
        <w:t>vast te stellen</w:t>
      </w:r>
      <w:r>
        <w:rPr>
          <w:lang w:val="nl-NL"/>
        </w:rPr>
        <w:t xml:space="preserve"> op basis van de eisen van de </w:t>
      </w:r>
      <w:r w:rsidR="00797B87">
        <w:rPr>
          <w:lang w:val="nl-NL"/>
        </w:rPr>
        <w:t>O</w:t>
      </w:r>
      <w:r>
        <w:rPr>
          <w:lang w:val="nl-NL"/>
        </w:rPr>
        <w:t>mgevingswet,</w:t>
      </w:r>
    </w:p>
    <w:p w:rsidR="009549BE" w:rsidRDefault="00F96B8D" w:rsidP="00C53E0E">
      <w:pPr>
        <w:pStyle w:val="Lijstalinea"/>
        <w:numPr>
          <w:ilvl w:val="0"/>
          <w:numId w:val="1"/>
        </w:numPr>
        <w:rPr>
          <w:lang w:val="nl-NL"/>
        </w:rPr>
      </w:pPr>
      <w:r>
        <w:rPr>
          <w:lang w:val="nl-NL"/>
        </w:rPr>
        <w:t>De mogelijkheid voor gemeenten om hun omgevingsplan te kunnen wijzigen conform de</w:t>
      </w:r>
      <w:r w:rsidR="009549BE">
        <w:rPr>
          <w:lang w:val="nl-NL"/>
        </w:rPr>
        <w:t xml:space="preserve"> eis van de Omgevingswet</w:t>
      </w:r>
      <w:r w:rsidR="00797B87">
        <w:rPr>
          <w:lang w:val="nl-NL"/>
        </w:rPr>
        <w:t>;</w:t>
      </w:r>
    </w:p>
    <w:p w:rsidR="009549BE" w:rsidRDefault="009549BE" w:rsidP="009549BE">
      <w:pPr>
        <w:pStyle w:val="Lijstalinea"/>
        <w:numPr>
          <w:ilvl w:val="0"/>
          <w:numId w:val="1"/>
        </w:numPr>
        <w:rPr>
          <w:lang w:val="nl-NL"/>
        </w:rPr>
      </w:pPr>
      <w:r>
        <w:rPr>
          <w:lang w:val="nl-NL"/>
        </w:rPr>
        <w:t>De DSO moet op gemeentelijk niveau ontsloten zijn</w:t>
      </w:r>
      <w:r w:rsidR="00797B87">
        <w:rPr>
          <w:lang w:val="nl-NL"/>
        </w:rPr>
        <w:t xml:space="preserve">; </w:t>
      </w:r>
    </w:p>
    <w:p w:rsidR="009549BE" w:rsidRDefault="009549BE" w:rsidP="009549BE">
      <w:pPr>
        <w:pStyle w:val="Lijstalinea"/>
        <w:numPr>
          <w:ilvl w:val="0"/>
          <w:numId w:val="1"/>
        </w:numPr>
        <w:rPr>
          <w:lang w:val="nl-NL"/>
        </w:rPr>
      </w:pPr>
      <w:r>
        <w:rPr>
          <w:lang w:val="nl-NL"/>
        </w:rPr>
        <w:t>Voor vergunningen, het doen van meldingen en aanvragen moet het DSO zo werken</w:t>
      </w:r>
      <w:r w:rsidR="00797B87">
        <w:rPr>
          <w:lang w:val="nl-NL"/>
        </w:rPr>
        <w:t xml:space="preserve">, </w:t>
      </w:r>
      <w:r>
        <w:rPr>
          <w:lang w:val="nl-NL"/>
        </w:rPr>
        <w:t>dat de organen</w:t>
      </w:r>
      <w:r w:rsidR="00797B87">
        <w:rPr>
          <w:lang w:val="nl-NL"/>
        </w:rPr>
        <w:t>,</w:t>
      </w:r>
      <w:r>
        <w:rPr>
          <w:lang w:val="nl-NL"/>
        </w:rPr>
        <w:t xml:space="preserve"> die erover gaan, de</w:t>
      </w:r>
      <w:r w:rsidR="00797B87">
        <w:rPr>
          <w:lang w:val="nl-NL"/>
        </w:rPr>
        <w:t xml:space="preserve"> aanvragen en meldingen</w:t>
      </w:r>
      <w:r>
        <w:rPr>
          <w:lang w:val="nl-NL"/>
        </w:rPr>
        <w:t xml:space="preserve"> ook daadwerkelijk ontvangen.</w:t>
      </w:r>
    </w:p>
    <w:p w:rsidR="00F33BD6" w:rsidRDefault="00F33BD6" w:rsidP="00F33BD6">
      <w:pPr>
        <w:rPr>
          <w:lang w:val="nl-NL"/>
        </w:rPr>
      </w:pPr>
      <w:r w:rsidRPr="00F33BD6">
        <w:rPr>
          <w:lang w:val="nl-NL"/>
        </w:rPr>
        <w:t>Op het gebied van de MER is monitoring toegezegd.</w:t>
      </w:r>
    </w:p>
    <w:p w:rsidR="0035577C" w:rsidRPr="00F33BD6" w:rsidRDefault="0035577C" w:rsidP="00F33BD6">
      <w:pPr>
        <w:rPr>
          <w:lang w:val="nl-NL"/>
        </w:rPr>
      </w:pPr>
      <w:r>
        <w:rPr>
          <w:rFonts w:cstheme="minorHAnsi"/>
          <w:lang w:val="nl-NL"/>
        </w:rPr>
        <w:t xml:space="preserve">In de </w:t>
      </w:r>
      <w:r>
        <w:rPr>
          <w:rFonts w:cstheme="minorHAnsi"/>
          <w:lang w:val="nl-NL"/>
        </w:rPr>
        <w:t>K</w:t>
      </w:r>
      <w:r>
        <w:rPr>
          <w:rFonts w:cstheme="minorHAnsi"/>
          <w:lang w:val="nl-NL"/>
        </w:rPr>
        <w:t xml:space="preserve">amer ligt nog een motie voor over het monitoren van beleids- en beoordelingscriteria die vallen onder de discretionaire bevoegdheid van de bestuursorganen en het vastleggen daarvan in beleidsregels (wanneer mag je van de regels afwijken). Afhankelijk of deze motie wordt aangenomen, wordt dit uitgevoerd. </w:t>
      </w:r>
    </w:p>
    <w:p w:rsidR="00F33BD6" w:rsidRPr="00F33BD6" w:rsidRDefault="00F33BD6" w:rsidP="009549BE">
      <w:pPr>
        <w:rPr>
          <w:b/>
          <w:lang w:val="nl-NL"/>
        </w:rPr>
      </w:pPr>
      <w:proofErr w:type="spellStart"/>
      <w:r w:rsidRPr="00F33BD6">
        <w:rPr>
          <w:b/>
          <w:lang w:val="nl-NL"/>
        </w:rPr>
        <w:t>Buitenplanse</w:t>
      </w:r>
      <w:proofErr w:type="spellEnd"/>
      <w:r w:rsidRPr="00F33BD6">
        <w:rPr>
          <w:b/>
          <w:lang w:val="nl-NL"/>
        </w:rPr>
        <w:t xml:space="preserve"> activiteiten en schadevergoeding</w:t>
      </w:r>
    </w:p>
    <w:p w:rsidR="009549BE" w:rsidRDefault="00861AC7" w:rsidP="009549BE">
      <w:pPr>
        <w:rPr>
          <w:lang w:val="nl-NL"/>
        </w:rPr>
      </w:pPr>
      <w:r>
        <w:rPr>
          <w:lang w:val="nl-NL"/>
        </w:rPr>
        <w:lastRenderedPageBreak/>
        <w:t xml:space="preserve">Bij </w:t>
      </w:r>
      <w:proofErr w:type="spellStart"/>
      <w:r>
        <w:rPr>
          <w:lang w:val="nl-NL"/>
        </w:rPr>
        <w:t>buitenplanse</w:t>
      </w:r>
      <w:proofErr w:type="spellEnd"/>
      <w:r>
        <w:rPr>
          <w:lang w:val="nl-NL"/>
        </w:rPr>
        <w:t xml:space="preserve"> activiteiten is d</w:t>
      </w:r>
      <w:r w:rsidR="009549BE">
        <w:rPr>
          <w:lang w:val="nl-NL"/>
        </w:rPr>
        <w:t>e positie van de gemeenteraad niet versterkt. Wel heeft de minister toegezegd dat de raden actief van informatie worden voorzien ten aanzien van bijvoorbeeld hun mogelijkheden van bindend advies. Er komt aandacht voor scholing en implementatiebegeleiding.</w:t>
      </w:r>
    </w:p>
    <w:p w:rsidR="009549BE" w:rsidRDefault="009549BE" w:rsidP="009549BE">
      <w:pPr>
        <w:rPr>
          <w:lang w:val="nl-NL"/>
        </w:rPr>
      </w:pPr>
      <w:r>
        <w:rPr>
          <w:lang w:val="nl-NL"/>
        </w:rPr>
        <w:t>Voor ev</w:t>
      </w:r>
      <w:r w:rsidR="00797B87">
        <w:rPr>
          <w:lang w:val="nl-NL"/>
        </w:rPr>
        <w:t>entuele</w:t>
      </w:r>
      <w:r>
        <w:rPr>
          <w:lang w:val="nl-NL"/>
        </w:rPr>
        <w:t xml:space="preserve"> schadevergoeding (nadeelcompensatie) gaat het om reële schade in plaats van potentiële schade. In het verzoek voor schadevergoeding gaat het dan niet meer om het plan maar wel om de activit</w:t>
      </w:r>
      <w:r w:rsidR="00861AC7">
        <w:rPr>
          <w:lang w:val="nl-NL"/>
        </w:rPr>
        <w:t>ei</w:t>
      </w:r>
      <w:r>
        <w:rPr>
          <w:lang w:val="nl-NL"/>
        </w:rPr>
        <w:t>ten of vergunning.</w:t>
      </w:r>
    </w:p>
    <w:p w:rsidR="00DD6F5E" w:rsidRPr="00DD6F5E" w:rsidRDefault="00DD6F5E" w:rsidP="009549BE">
      <w:pPr>
        <w:rPr>
          <w:b/>
          <w:lang w:val="nl-NL"/>
        </w:rPr>
      </w:pPr>
      <w:r w:rsidRPr="00DD6F5E">
        <w:rPr>
          <w:b/>
          <w:lang w:val="nl-NL"/>
        </w:rPr>
        <w:t>Participatie</w:t>
      </w:r>
    </w:p>
    <w:p w:rsidR="00536A53" w:rsidRPr="00536A53" w:rsidRDefault="009549BE" w:rsidP="009549BE">
      <w:pPr>
        <w:rPr>
          <w:rFonts w:cstheme="minorHAnsi"/>
          <w:lang w:val="nl-NL"/>
        </w:rPr>
      </w:pPr>
      <w:r>
        <w:rPr>
          <w:lang w:val="nl-NL"/>
        </w:rPr>
        <w:t xml:space="preserve">Belangrijk voor de PvdA zijn de afspraken met betrekking tot participatie. </w:t>
      </w:r>
      <w:r w:rsidRPr="00D94AB3">
        <w:rPr>
          <w:rFonts w:cstheme="minorHAnsi"/>
          <w:lang w:val="nl-NL"/>
        </w:rPr>
        <w:t>Parti</w:t>
      </w:r>
      <w:r w:rsidR="00D94AB3" w:rsidRPr="00D94AB3">
        <w:rPr>
          <w:rFonts w:cstheme="minorHAnsi"/>
          <w:lang w:val="nl-NL"/>
        </w:rPr>
        <w:t xml:space="preserve">cipatie is geen verplichting voor burgers, maar wel een plus op de rechtsbescherming, en komt </w:t>
      </w:r>
      <w:r w:rsidR="00D94AB3" w:rsidRPr="00D94AB3">
        <w:rPr>
          <w:rFonts w:cstheme="minorHAnsi"/>
          <w:i/>
          <w:iCs/>
          <w:lang w:val="nl-NL"/>
        </w:rPr>
        <w:t>niet</w:t>
      </w:r>
      <w:r w:rsidR="00D94AB3" w:rsidRPr="00D94AB3">
        <w:rPr>
          <w:rFonts w:cstheme="minorHAnsi"/>
          <w:lang w:val="nl-NL"/>
        </w:rPr>
        <w:t xml:space="preserve"> in plaats van de rechtsbescherming</w:t>
      </w:r>
      <w:r w:rsidR="00D94AB3">
        <w:rPr>
          <w:rFonts w:cstheme="minorHAnsi"/>
          <w:lang w:val="nl-NL"/>
        </w:rPr>
        <w:t xml:space="preserve">. </w:t>
      </w:r>
      <w:r w:rsidRPr="00D94AB3">
        <w:rPr>
          <w:rFonts w:cstheme="minorHAnsi"/>
          <w:lang w:val="nl-NL"/>
        </w:rPr>
        <w:t xml:space="preserve">Het bevoegd gezag </w:t>
      </w:r>
      <w:r w:rsidR="00D94AB3">
        <w:rPr>
          <w:rFonts w:cstheme="minorHAnsi"/>
          <w:lang w:val="nl-NL"/>
        </w:rPr>
        <w:t xml:space="preserve">(gemeente, provincie, waterschap) </w:t>
      </w:r>
      <w:r w:rsidRPr="00D94AB3">
        <w:rPr>
          <w:rFonts w:cstheme="minorHAnsi"/>
          <w:lang w:val="nl-NL"/>
        </w:rPr>
        <w:t xml:space="preserve">zal ook de belangen van de stille meerderheid moeten bewaken. </w:t>
      </w:r>
      <w:r w:rsidR="00D94AB3">
        <w:rPr>
          <w:rFonts w:cstheme="minorHAnsi"/>
          <w:lang w:val="nl-NL"/>
        </w:rPr>
        <w:t>Zij dienen vooraf na te denken over hoe zij met participatie om willen gaan</w:t>
      </w:r>
      <w:r w:rsidR="00D94AB3" w:rsidRPr="00D94AB3">
        <w:rPr>
          <w:rFonts w:cstheme="minorHAnsi"/>
          <w:lang w:val="nl-NL"/>
        </w:rPr>
        <w:t xml:space="preserve">. De minister heeft toegezegd </w:t>
      </w:r>
      <w:r w:rsidR="00DD6F5E" w:rsidRPr="00D94AB3">
        <w:rPr>
          <w:rFonts w:cstheme="minorHAnsi"/>
          <w:lang w:val="nl-NL"/>
        </w:rPr>
        <w:t xml:space="preserve">in het Invoeringsbesluit </w:t>
      </w:r>
      <w:r w:rsidR="00D94AB3" w:rsidRPr="00D94AB3">
        <w:rPr>
          <w:rFonts w:cstheme="minorHAnsi"/>
          <w:lang w:val="nl-NL"/>
        </w:rPr>
        <w:t>een vergelijkbare plicht op te nemen</w:t>
      </w:r>
      <w:r w:rsidR="00DD6F5E">
        <w:rPr>
          <w:rFonts w:cstheme="minorHAnsi"/>
          <w:lang w:val="nl-NL"/>
        </w:rPr>
        <w:t>,</w:t>
      </w:r>
      <w:r w:rsidR="00D94AB3" w:rsidRPr="00D94AB3">
        <w:rPr>
          <w:rFonts w:cstheme="minorHAnsi"/>
          <w:lang w:val="nl-NL"/>
        </w:rPr>
        <w:t xml:space="preserve"> </w:t>
      </w:r>
      <w:r w:rsidR="00D94AB3">
        <w:rPr>
          <w:rFonts w:cstheme="minorHAnsi"/>
          <w:lang w:val="nl-NL"/>
        </w:rPr>
        <w:t>zo</w:t>
      </w:r>
      <w:r w:rsidR="00D94AB3" w:rsidRPr="00D94AB3">
        <w:rPr>
          <w:rFonts w:cstheme="minorHAnsi"/>
          <w:lang w:val="nl-NL"/>
        </w:rPr>
        <w:t xml:space="preserve">als </w:t>
      </w:r>
      <w:r w:rsidR="00861AC7">
        <w:rPr>
          <w:rFonts w:cstheme="minorHAnsi"/>
          <w:lang w:val="nl-NL"/>
        </w:rPr>
        <w:t xml:space="preserve">die </w:t>
      </w:r>
      <w:r w:rsidR="00D94AB3">
        <w:rPr>
          <w:rFonts w:cstheme="minorHAnsi"/>
          <w:lang w:val="nl-NL"/>
        </w:rPr>
        <w:t>later volgt</w:t>
      </w:r>
      <w:r w:rsidR="00D94AB3" w:rsidRPr="00D94AB3">
        <w:rPr>
          <w:rFonts w:cstheme="minorHAnsi"/>
          <w:lang w:val="nl-NL"/>
        </w:rPr>
        <w:t xml:space="preserve"> in het wetsvoorstel Versterking participatie op decentraal niveau (</w:t>
      </w:r>
      <w:r w:rsidR="00D94AB3">
        <w:rPr>
          <w:rFonts w:cstheme="minorHAnsi"/>
          <w:lang w:val="nl-NL"/>
        </w:rPr>
        <w:t xml:space="preserve">dit wetsvoorstel is </w:t>
      </w:r>
      <w:r w:rsidR="00D94AB3" w:rsidRPr="00D94AB3">
        <w:rPr>
          <w:rFonts w:cstheme="minorHAnsi"/>
          <w:lang w:val="nl-NL"/>
        </w:rPr>
        <w:t xml:space="preserve">nu in consultatie). Dat krijgt de vorm van een motiveringsplicht, waarmee moet worden aangegeven in hoeverre aan het </w:t>
      </w:r>
      <w:r w:rsidR="00D94AB3" w:rsidRPr="00D94AB3">
        <w:rPr>
          <w:rFonts w:cstheme="minorHAnsi"/>
          <w:b/>
          <w:bCs/>
          <w:lang w:val="nl-NL"/>
        </w:rPr>
        <w:t>lokale, vastgestelde en gepubliceerde participatiebeleid</w:t>
      </w:r>
      <w:r w:rsidR="00D94AB3" w:rsidRPr="00D94AB3">
        <w:rPr>
          <w:rFonts w:cstheme="minorHAnsi"/>
          <w:lang w:val="nl-NL"/>
        </w:rPr>
        <w:t xml:space="preserve"> is voldaan</w:t>
      </w:r>
      <w:r w:rsidR="00D94AB3" w:rsidRPr="009549BE">
        <w:rPr>
          <w:rFonts w:ascii="Arial" w:hAnsi="Arial" w:cs="Arial"/>
          <w:sz w:val="24"/>
          <w:szCs w:val="24"/>
          <w:lang w:val="nl-NL"/>
        </w:rPr>
        <w:t>.</w:t>
      </w:r>
      <w:r w:rsidR="00536A53">
        <w:rPr>
          <w:rFonts w:cstheme="minorHAnsi"/>
          <w:lang w:val="nl-NL"/>
        </w:rPr>
        <w:t xml:space="preserve"> Daarmee kan het ook de werking krijgen van weigeringsgrond of uitstel.</w:t>
      </w:r>
    </w:p>
    <w:p w:rsidR="00D94AB3" w:rsidRDefault="009549BE" w:rsidP="009549BE">
      <w:pPr>
        <w:rPr>
          <w:rFonts w:cstheme="minorHAnsi"/>
          <w:lang w:val="nl-NL"/>
        </w:rPr>
      </w:pPr>
      <w:r w:rsidRPr="00D94AB3">
        <w:rPr>
          <w:rFonts w:cstheme="minorHAnsi"/>
          <w:lang w:val="nl-NL"/>
        </w:rPr>
        <w:t xml:space="preserve">Met de Nationale </w:t>
      </w:r>
      <w:r w:rsidR="00DD6F5E">
        <w:rPr>
          <w:rFonts w:cstheme="minorHAnsi"/>
          <w:lang w:val="nl-NL"/>
        </w:rPr>
        <w:t>O</w:t>
      </w:r>
      <w:r w:rsidRPr="00D94AB3">
        <w:rPr>
          <w:rFonts w:cstheme="minorHAnsi"/>
          <w:lang w:val="nl-NL"/>
        </w:rPr>
        <w:t xml:space="preserve">mbudsman is afgesproken dat hij zijn kennis en expertise tijdens de implementatie inzet, met speciale aandacht voor mensen die moeilijker te bereiken zijn. Helpend zijn verder de Inspiratiegids Participatie en de communicatietoolkit Omgevingswet. </w:t>
      </w:r>
    </w:p>
    <w:p w:rsidR="00C53E0E" w:rsidRDefault="00D94AB3" w:rsidP="009549BE">
      <w:pPr>
        <w:rPr>
          <w:rFonts w:cstheme="minorHAnsi"/>
          <w:lang w:val="nl-NL"/>
        </w:rPr>
      </w:pPr>
      <w:r w:rsidRPr="00D94AB3">
        <w:rPr>
          <w:rFonts w:cstheme="minorHAnsi"/>
          <w:lang w:val="nl-NL"/>
        </w:rPr>
        <w:t xml:space="preserve">De minister heeft toegezegd te bevorderen dat de </w:t>
      </w:r>
      <w:r>
        <w:rPr>
          <w:rFonts w:cstheme="minorHAnsi"/>
          <w:lang w:val="nl-NL"/>
        </w:rPr>
        <w:t>gemeenten, provincies, waterschappen</w:t>
      </w:r>
      <w:r w:rsidRPr="00D94AB3">
        <w:rPr>
          <w:rFonts w:cstheme="minorHAnsi"/>
          <w:lang w:val="nl-NL"/>
        </w:rPr>
        <w:t xml:space="preserve"> expliciet aandacht besteden aan doelgroepen</w:t>
      </w:r>
      <w:r w:rsidR="0035577C">
        <w:rPr>
          <w:rFonts w:cstheme="minorHAnsi"/>
          <w:lang w:val="nl-NL"/>
        </w:rPr>
        <w:t>,</w:t>
      </w:r>
      <w:r w:rsidRPr="00D94AB3">
        <w:rPr>
          <w:rFonts w:cstheme="minorHAnsi"/>
          <w:lang w:val="nl-NL"/>
        </w:rPr>
        <w:t xml:space="preserve"> die normaal gesproken ondervertegenwoordigd zijn bij participatie</w:t>
      </w:r>
      <w:r w:rsidR="0035577C">
        <w:rPr>
          <w:rFonts w:cstheme="minorHAnsi"/>
          <w:lang w:val="nl-NL"/>
        </w:rPr>
        <w:t>;</w:t>
      </w:r>
      <w:r w:rsidRPr="00D94AB3">
        <w:rPr>
          <w:rFonts w:cstheme="minorHAnsi"/>
          <w:lang w:val="nl-NL"/>
        </w:rPr>
        <w:t xml:space="preserve"> </w:t>
      </w:r>
      <w:r>
        <w:rPr>
          <w:rFonts w:cstheme="minorHAnsi"/>
          <w:lang w:val="nl-NL"/>
        </w:rPr>
        <w:t xml:space="preserve">te </w:t>
      </w:r>
      <w:r w:rsidRPr="00D94AB3">
        <w:rPr>
          <w:rFonts w:cstheme="minorHAnsi"/>
          <w:lang w:val="nl-NL"/>
        </w:rPr>
        <w:t>monitoren hoe participatie zich ontwikkelt</w:t>
      </w:r>
      <w:r w:rsidR="0035577C">
        <w:rPr>
          <w:rFonts w:cstheme="minorHAnsi"/>
          <w:lang w:val="nl-NL"/>
        </w:rPr>
        <w:t>;</w:t>
      </w:r>
      <w:r w:rsidRPr="00D94AB3">
        <w:rPr>
          <w:rFonts w:cstheme="minorHAnsi"/>
          <w:lang w:val="nl-NL"/>
        </w:rPr>
        <w:t xml:space="preserve"> en vervolgens bij de evaluatie van de Omgevingswet </w:t>
      </w:r>
      <w:r>
        <w:rPr>
          <w:rFonts w:cstheme="minorHAnsi"/>
          <w:lang w:val="nl-NL"/>
        </w:rPr>
        <w:t xml:space="preserve">te </w:t>
      </w:r>
      <w:r w:rsidRPr="00D94AB3">
        <w:rPr>
          <w:rFonts w:cstheme="minorHAnsi"/>
          <w:lang w:val="nl-NL"/>
        </w:rPr>
        <w:t>bepalen of andere</w:t>
      </w:r>
      <w:r>
        <w:rPr>
          <w:rFonts w:cstheme="minorHAnsi"/>
          <w:lang w:val="nl-NL"/>
        </w:rPr>
        <w:t>,</w:t>
      </w:r>
      <w:r w:rsidRPr="00D94AB3">
        <w:rPr>
          <w:rFonts w:cstheme="minorHAnsi"/>
          <w:lang w:val="nl-NL"/>
        </w:rPr>
        <w:t xml:space="preserve"> nadere eisen alsnog noodzakelijk zijn.</w:t>
      </w:r>
      <w:r w:rsidRPr="00D94AB3">
        <w:rPr>
          <w:rFonts w:cstheme="minorHAnsi"/>
          <w:i/>
          <w:iCs/>
          <w:lang w:val="nl-NL"/>
        </w:rPr>
        <w:t xml:space="preserve"> </w:t>
      </w:r>
      <w:r>
        <w:rPr>
          <w:rFonts w:cstheme="minorHAnsi"/>
          <w:lang w:val="nl-NL"/>
        </w:rPr>
        <w:t>De gem</w:t>
      </w:r>
      <w:r w:rsidR="0035577C">
        <w:rPr>
          <w:rFonts w:cstheme="minorHAnsi"/>
          <w:lang w:val="nl-NL"/>
        </w:rPr>
        <w:t>eenten, provincies en waterschappen</w:t>
      </w:r>
      <w:r w:rsidRPr="00D94AB3">
        <w:rPr>
          <w:rFonts w:cstheme="minorHAnsi"/>
          <w:lang w:val="nl-NL"/>
        </w:rPr>
        <w:t xml:space="preserve"> </w:t>
      </w:r>
      <w:r w:rsidR="0035577C">
        <w:rPr>
          <w:rFonts w:cstheme="minorHAnsi"/>
          <w:lang w:val="nl-NL"/>
        </w:rPr>
        <w:t>zullen</w:t>
      </w:r>
      <w:r w:rsidRPr="00D94AB3">
        <w:rPr>
          <w:rFonts w:cstheme="minorHAnsi"/>
          <w:lang w:val="nl-NL"/>
        </w:rPr>
        <w:t xml:space="preserve"> moeten motiveren hoe alle belangen goed gewogen zijn en de rechter kan hier op toetsen. Ze heeft toegezegd om in de evaluatie te onderzoeken wat de kwaliteit van het participatieproces was. </w:t>
      </w:r>
      <w:r w:rsidR="009549BE" w:rsidRPr="00D94AB3">
        <w:rPr>
          <w:rFonts w:cstheme="minorHAnsi"/>
          <w:lang w:val="nl-NL"/>
        </w:rPr>
        <w:t xml:space="preserve">Verder heeft </w:t>
      </w:r>
      <w:r w:rsidR="0035577C">
        <w:rPr>
          <w:rFonts w:cstheme="minorHAnsi"/>
          <w:lang w:val="nl-NL"/>
        </w:rPr>
        <w:t>de minister</w:t>
      </w:r>
      <w:r w:rsidR="009549BE" w:rsidRPr="00D94AB3">
        <w:rPr>
          <w:rFonts w:cstheme="minorHAnsi"/>
          <w:lang w:val="nl-NL"/>
        </w:rPr>
        <w:t xml:space="preserve"> toegezegd om het de VNG om de tafel te gaan zitten om de succesfactoren, doelstellingen en bijbehorende waarden en randvoorwaarden voor participatie op een rijtje te zetten. </w:t>
      </w:r>
    </w:p>
    <w:p w:rsidR="0035577C" w:rsidRDefault="0035577C" w:rsidP="009549BE">
      <w:pPr>
        <w:rPr>
          <w:rFonts w:cstheme="minorHAnsi"/>
          <w:lang w:val="nl-NL"/>
        </w:rPr>
      </w:pPr>
      <w:bookmarkStart w:id="0" w:name="_GoBack"/>
      <w:bookmarkEnd w:id="0"/>
    </w:p>
    <w:p w:rsidR="00861AC7" w:rsidRDefault="00D94AB3" w:rsidP="009549BE">
      <w:pPr>
        <w:rPr>
          <w:rFonts w:cstheme="minorHAnsi"/>
          <w:lang w:val="nl-NL"/>
        </w:rPr>
      </w:pPr>
      <w:r>
        <w:rPr>
          <w:rFonts w:cstheme="minorHAnsi"/>
          <w:lang w:val="nl-NL"/>
        </w:rPr>
        <w:t xml:space="preserve">De verplichting tot het publiceren van besluiten komt te vervallen </w:t>
      </w:r>
      <w:r w:rsidR="00861AC7">
        <w:rPr>
          <w:rFonts w:cstheme="minorHAnsi"/>
          <w:lang w:val="nl-NL"/>
        </w:rPr>
        <w:t>(wetsvoorstel elektronische overheidscommunicatie).</w:t>
      </w:r>
    </w:p>
    <w:sectPr w:rsidR="00861A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A6C4A"/>
    <w:multiLevelType w:val="hybridMultilevel"/>
    <w:tmpl w:val="029A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98"/>
    <w:rsid w:val="00041374"/>
    <w:rsid w:val="00273498"/>
    <w:rsid w:val="0035577C"/>
    <w:rsid w:val="00536A53"/>
    <w:rsid w:val="005A56A6"/>
    <w:rsid w:val="005F54D9"/>
    <w:rsid w:val="00681F70"/>
    <w:rsid w:val="00752E0B"/>
    <w:rsid w:val="00797B87"/>
    <w:rsid w:val="00861AC7"/>
    <w:rsid w:val="009330A2"/>
    <w:rsid w:val="009549BE"/>
    <w:rsid w:val="009944D7"/>
    <w:rsid w:val="00C53E0E"/>
    <w:rsid w:val="00CD6A19"/>
    <w:rsid w:val="00D94AB3"/>
    <w:rsid w:val="00DC6E6A"/>
    <w:rsid w:val="00DD6F5E"/>
    <w:rsid w:val="00F33BD6"/>
    <w:rsid w:val="00F9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F72D"/>
  <w15:chartTrackingRefBased/>
  <w15:docId w15:val="{84042CEA-ABE2-4A79-B802-FE85F7A7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3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6605</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Kalk</dc:creator>
  <cp:keywords/>
  <dc:description/>
  <cp:lastModifiedBy>Jan Erik Keman</cp:lastModifiedBy>
  <cp:revision>2</cp:revision>
  <dcterms:created xsi:type="dcterms:W3CDTF">2020-02-21T11:22:00Z</dcterms:created>
  <dcterms:modified xsi:type="dcterms:W3CDTF">2020-02-21T11:22:00Z</dcterms:modified>
</cp:coreProperties>
</file>