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F2FF" w14:textId="04A81E32" w:rsidR="002F19C1" w:rsidRDefault="002F19C1" w:rsidP="002F19C1">
      <w:pPr>
        <w:jc w:val="center"/>
        <w:rPr>
          <w:rFonts w:asciiTheme="minorHAnsi" w:eastAsia="Times New Roman" w:hAnsiTheme="minorHAnsi" w:cstheme="minorHAnsi"/>
          <w:sz w:val="22"/>
          <w:lang w:eastAsia="nl-NL"/>
        </w:rPr>
      </w:pPr>
      <w:bookmarkStart w:id="0" w:name="_GoBack"/>
      <w:bookmarkEnd w:id="0"/>
      <w:r w:rsidRPr="002A7F4B">
        <w:rPr>
          <w:noProof/>
          <w:lang w:eastAsia="nl-NL"/>
        </w:rPr>
        <w:drawing>
          <wp:inline distT="0" distB="0" distL="0" distR="0" wp14:anchorId="02D6C8D9" wp14:editId="04E3D140">
            <wp:extent cx="1676400" cy="314325"/>
            <wp:effectExtent l="0" t="0" r="0" b="9525"/>
            <wp:docPr id="1" name="Afbeelding 1" descr="PvdA-Di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vdA-Die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64">
        <w:rPr>
          <w:rFonts w:asciiTheme="minorHAnsi" w:eastAsia="Times New Roman" w:hAnsiTheme="minorHAnsi" w:cstheme="minorHAnsi"/>
          <w:sz w:val="22"/>
          <w:lang w:eastAsia="nl-NL"/>
        </w:rPr>
        <w:br/>
      </w:r>
      <w:r>
        <w:rPr>
          <w:rFonts w:asciiTheme="minorHAnsi" w:eastAsia="Times New Roman" w:hAnsiTheme="minorHAnsi" w:cstheme="minorHAnsi"/>
          <w:sz w:val="22"/>
          <w:lang w:eastAsia="nl-NL"/>
        </w:rPr>
        <w:br/>
      </w:r>
      <w:r w:rsidRPr="00477EE2">
        <w:rPr>
          <w:rFonts w:asciiTheme="minorHAnsi" w:eastAsia="Times New Roman" w:hAnsiTheme="minorHAnsi" w:cstheme="minorHAnsi"/>
          <w:b/>
          <w:sz w:val="28"/>
          <w:szCs w:val="28"/>
          <w:lang w:eastAsia="nl-NL"/>
        </w:rPr>
        <w:t>Motie</w:t>
      </w:r>
      <w:r>
        <w:rPr>
          <w:rFonts w:asciiTheme="minorHAnsi" w:eastAsia="Times New Roman" w:hAnsiTheme="minorHAnsi" w:cstheme="minorHAnsi"/>
          <w:b/>
          <w:sz w:val="22"/>
          <w:lang w:eastAsia="nl-NL"/>
        </w:rPr>
        <w:br/>
      </w:r>
      <w:r w:rsidR="0081635C">
        <w:rPr>
          <w:rFonts w:asciiTheme="minorHAnsi" w:eastAsia="Times New Roman" w:hAnsiTheme="minorHAnsi" w:cstheme="minorHAnsi"/>
          <w:b/>
          <w:sz w:val="28"/>
          <w:szCs w:val="28"/>
          <w:lang w:eastAsia="nl-NL"/>
        </w:rPr>
        <w:t>Zelfbewoningsplicht</w:t>
      </w:r>
      <w:r>
        <w:rPr>
          <w:rFonts w:asciiTheme="minorHAnsi" w:eastAsia="Times New Roman" w:hAnsiTheme="minorHAnsi" w:cstheme="minorHAnsi"/>
          <w:sz w:val="22"/>
          <w:lang w:eastAsia="nl-NL"/>
        </w:rPr>
        <w:br/>
      </w:r>
    </w:p>
    <w:p w14:paraId="226B12E8" w14:textId="0FCF6235" w:rsidR="002F19C1" w:rsidRPr="00484A91" w:rsidRDefault="002F19C1" w:rsidP="002F19C1">
      <w:pPr>
        <w:rPr>
          <w:rFonts w:asciiTheme="minorHAnsi" w:eastAsia="Times New Roman" w:hAnsiTheme="minorHAnsi" w:cstheme="minorHAnsi"/>
          <w:sz w:val="22"/>
          <w:lang w:eastAsia="nl-NL"/>
        </w:rPr>
      </w:pPr>
      <w:r w:rsidRPr="00484A91">
        <w:rPr>
          <w:rFonts w:asciiTheme="minorHAnsi" w:eastAsia="Times New Roman" w:hAnsiTheme="minorHAnsi" w:cstheme="minorHAnsi"/>
          <w:sz w:val="22"/>
          <w:lang w:eastAsia="nl-NL"/>
        </w:rPr>
        <w:t>De Gemeenteraad van Diemen, in vergadering bijeen</w:t>
      </w:r>
      <w:r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  <w:r w:rsidRPr="00484A91">
        <w:rPr>
          <w:rFonts w:asciiTheme="minorHAnsi" w:eastAsia="Times New Roman" w:hAnsiTheme="minorHAnsi" w:cstheme="minorHAnsi"/>
          <w:sz w:val="22"/>
          <w:lang w:eastAsia="nl-NL"/>
        </w:rPr>
        <w:t xml:space="preserve">op </w:t>
      </w:r>
      <w:r>
        <w:rPr>
          <w:rFonts w:asciiTheme="minorHAnsi" w:eastAsia="Times New Roman" w:hAnsiTheme="minorHAnsi" w:cstheme="minorHAnsi"/>
          <w:sz w:val="22"/>
          <w:lang w:eastAsia="nl-NL"/>
        </w:rPr>
        <w:t xml:space="preserve">donderdag </w:t>
      </w:r>
      <w:r w:rsidR="00050D04">
        <w:rPr>
          <w:rFonts w:asciiTheme="minorHAnsi" w:eastAsia="Times New Roman" w:hAnsiTheme="minorHAnsi" w:cstheme="minorHAnsi"/>
          <w:sz w:val="22"/>
          <w:lang w:eastAsia="nl-NL"/>
        </w:rPr>
        <w:t>7</w:t>
      </w:r>
      <w:r w:rsidRPr="00484A91">
        <w:rPr>
          <w:rFonts w:asciiTheme="minorHAnsi" w:eastAsia="Times New Roman" w:hAnsiTheme="minorHAnsi" w:cstheme="minorHAnsi"/>
          <w:sz w:val="22"/>
          <w:lang w:eastAsia="nl-NL"/>
        </w:rPr>
        <w:t xml:space="preserve"> november 201</w:t>
      </w:r>
      <w:r w:rsidR="0081635C">
        <w:rPr>
          <w:rFonts w:asciiTheme="minorHAnsi" w:eastAsia="Times New Roman" w:hAnsiTheme="minorHAnsi" w:cstheme="minorHAnsi"/>
          <w:sz w:val="22"/>
          <w:lang w:eastAsia="nl-NL"/>
        </w:rPr>
        <w:t>9</w:t>
      </w:r>
      <w:r>
        <w:rPr>
          <w:rFonts w:asciiTheme="minorHAnsi" w:eastAsia="Times New Roman" w:hAnsiTheme="minorHAnsi" w:cstheme="minorHAnsi"/>
          <w:sz w:val="22"/>
          <w:lang w:eastAsia="nl-NL"/>
        </w:rPr>
        <w:t>,</w:t>
      </w:r>
      <w:r>
        <w:rPr>
          <w:rFonts w:asciiTheme="minorHAnsi" w:eastAsia="Times New Roman" w:hAnsiTheme="minorHAnsi" w:cstheme="minorHAnsi"/>
          <w:sz w:val="22"/>
          <w:lang w:eastAsia="nl-NL"/>
        </w:rPr>
        <w:br/>
      </w:r>
      <w:r>
        <w:rPr>
          <w:rFonts w:asciiTheme="minorHAnsi" w:eastAsia="Times New Roman" w:hAnsiTheme="minorHAnsi" w:cstheme="minorHAnsi"/>
          <w:sz w:val="22"/>
          <w:lang w:eastAsia="nl-NL"/>
        </w:rPr>
        <w:br/>
      </w:r>
      <w:r w:rsidRPr="00484A91">
        <w:rPr>
          <w:rFonts w:asciiTheme="minorHAnsi" w:eastAsia="Times New Roman" w:hAnsiTheme="minorHAnsi" w:cstheme="minorHAnsi"/>
          <w:sz w:val="22"/>
          <w:lang w:eastAsia="nl-NL"/>
        </w:rPr>
        <w:t xml:space="preserve">Constaterende dat: </w:t>
      </w:r>
    </w:p>
    <w:p w14:paraId="670B9D32" w14:textId="235653B6" w:rsidR="00191710" w:rsidRDefault="00191710" w:rsidP="002F19C1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lang w:eastAsia="nl-NL"/>
        </w:rPr>
        <w:t xml:space="preserve">Het aantal woningen dat gekocht wordt om te verhuren, het zogenaamde </w:t>
      </w:r>
      <w:r w:rsidR="00D70DC2">
        <w:rPr>
          <w:rFonts w:asciiTheme="minorHAnsi" w:eastAsia="Times New Roman" w:hAnsiTheme="minorHAnsi" w:cstheme="minorHAnsi"/>
          <w:sz w:val="22"/>
          <w:lang w:eastAsia="nl-NL"/>
        </w:rPr>
        <w:t>‘</w:t>
      </w:r>
      <w:proofErr w:type="spellStart"/>
      <w:r>
        <w:rPr>
          <w:rFonts w:asciiTheme="minorHAnsi" w:eastAsia="Times New Roman" w:hAnsiTheme="minorHAnsi" w:cstheme="minorHAnsi"/>
          <w:sz w:val="22"/>
          <w:lang w:eastAsia="nl-NL"/>
        </w:rPr>
        <w:t>buy</w:t>
      </w:r>
      <w:proofErr w:type="spellEnd"/>
      <w:r w:rsidR="00D70DC2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2"/>
          <w:lang w:eastAsia="nl-NL"/>
        </w:rPr>
        <w:t>to</w:t>
      </w:r>
      <w:proofErr w:type="spellEnd"/>
      <w:r w:rsidR="00D70DC2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nl-NL"/>
        </w:rPr>
        <w:t>let</w:t>
      </w:r>
      <w:r w:rsidR="00D70DC2">
        <w:rPr>
          <w:rFonts w:asciiTheme="minorHAnsi" w:eastAsia="Times New Roman" w:hAnsiTheme="minorHAnsi" w:cstheme="minorHAnsi"/>
          <w:sz w:val="22"/>
          <w:lang w:eastAsia="nl-NL"/>
        </w:rPr>
        <w:t>’</w:t>
      </w:r>
      <w:r>
        <w:rPr>
          <w:rFonts w:asciiTheme="minorHAnsi" w:eastAsia="Times New Roman" w:hAnsiTheme="minorHAnsi" w:cstheme="minorHAnsi"/>
          <w:sz w:val="22"/>
          <w:lang w:eastAsia="nl-NL"/>
        </w:rPr>
        <w:t>, tussen 2009 en 2017 is gestegen van</w:t>
      </w:r>
      <w:r w:rsidR="00D6145A">
        <w:rPr>
          <w:rFonts w:asciiTheme="minorHAnsi" w:eastAsia="Times New Roman" w:hAnsiTheme="minorHAnsi" w:cstheme="minorHAnsi"/>
          <w:sz w:val="22"/>
          <w:lang w:eastAsia="nl-NL"/>
        </w:rPr>
        <w:t xml:space="preserve"> gemiddeld</w:t>
      </w:r>
      <w:r>
        <w:rPr>
          <w:rFonts w:asciiTheme="minorHAnsi" w:eastAsia="Times New Roman" w:hAnsiTheme="minorHAnsi" w:cstheme="minorHAnsi"/>
          <w:sz w:val="22"/>
          <w:lang w:eastAsia="nl-NL"/>
        </w:rPr>
        <w:t xml:space="preserve"> 2% naar</w:t>
      </w:r>
      <w:r w:rsidR="00D6145A">
        <w:rPr>
          <w:rFonts w:asciiTheme="minorHAnsi" w:eastAsia="Times New Roman" w:hAnsiTheme="minorHAnsi" w:cstheme="minorHAnsi"/>
          <w:sz w:val="22"/>
          <w:lang w:eastAsia="nl-NL"/>
        </w:rPr>
        <w:t xml:space="preserve"> gemiddeld</w:t>
      </w:r>
      <w:r>
        <w:rPr>
          <w:rFonts w:asciiTheme="minorHAnsi" w:eastAsia="Times New Roman" w:hAnsiTheme="minorHAnsi" w:cstheme="minorHAnsi"/>
          <w:sz w:val="22"/>
          <w:lang w:eastAsia="nl-NL"/>
        </w:rPr>
        <w:t xml:space="preserve"> 5%;</w:t>
      </w:r>
      <w:r>
        <w:rPr>
          <w:rStyle w:val="Voetnootmarkering"/>
          <w:rFonts w:asciiTheme="minorHAnsi" w:eastAsia="Times New Roman" w:hAnsiTheme="minorHAnsi" w:cstheme="minorHAnsi"/>
          <w:sz w:val="22"/>
          <w:lang w:eastAsia="nl-NL"/>
        </w:rPr>
        <w:footnoteReference w:id="1"/>
      </w:r>
    </w:p>
    <w:p w14:paraId="5CB78CD0" w14:textId="4A1D0D29" w:rsidR="00D6145A" w:rsidRDefault="001616D0" w:rsidP="002F19C1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lang w:eastAsia="nl-NL"/>
        </w:rPr>
        <w:t>Het aantal woningen dat in Diemen gekocht werd om te verhuren zelfs 10% was</w:t>
      </w:r>
      <w:r w:rsidR="009B6A93">
        <w:rPr>
          <w:rFonts w:asciiTheme="minorHAnsi" w:eastAsia="Times New Roman" w:hAnsiTheme="minorHAnsi" w:cstheme="minorHAnsi"/>
          <w:sz w:val="22"/>
          <w:lang w:eastAsia="nl-NL"/>
        </w:rPr>
        <w:t>;</w:t>
      </w:r>
      <w:r w:rsidR="009B6A93">
        <w:rPr>
          <w:rStyle w:val="Voetnootmarkering"/>
          <w:rFonts w:asciiTheme="minorHAnsi" w:eastAsia="Times New Roman" w:hAnsiTheme="minorHAnsi" w:cstheme="minorHAnsi"/>
          <w:sz w:val="22"/>
          <w:lang w:eastAsia="nl-NL"/>
        </w:rPr>
        <w:footnoteReference w:id="2"/>
      </w:r>
    </w:p>
    <w:p w14:paraId="578EB735" w14:textId="71DFCAE4" w:rsidR="007F3A96" w:rsidRPr="00477EE2" w:rsidRDefault="007F3A96" w:rsidP="002F19C1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lang w:eastAsia="nl-NL"/>
        </w:rPr>
        <w:t>Het aantal individuele eigenaren met verschillende woningen in het bezit is toegenomen;</w:t>
      </w:r>
      <w:r>
        <w:rPr>
          <w:rStyle w:val="Voetnootmarkering"/>
          <w:rFonts w:asciiTheme="minorHAnsi" w:eastAsia="Times New Roman" w:hAnsiTheme="minorHAnsi" w:cstheme="minorHAnsi"/>
          <w:sz w:val="22"/>
          <w:lang w:eastAsia="nl-NL"/>
        </w:rPr>
        <w:footnoteReference w:id="3"/>
      </w:r>
    </w:p>
    <w:p w14:paraId="1A21C62C" w14:textId="14760755" w:rsidR="00BB0EBB" w:rsidRDefault="00BB0EBB" w:rsidP="00BB0EBB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lang w:eastAsia="nl-NL"/>
        </w:rPr>
        <w:t>De huizenprijzen fors stijgen; de afgelopen drie jaar met gemiddeld bijna 8% per jaar;</w:t>
      </w:r>
      <w:r>
        <w:rPr>
          <w:rStyle w:val="Voetnootmarkering"/>
          <w:rFonts w:asciiTheme="minorHAnsi" w:eastAsia="Times New Roman" w:hAnsiTheme="minorHAnsi" w:cstheme="minorHAnsi"/>
          <w:sz w:val="22"/>
          <w:lang w:eastAsia="nl-NL"/>
        </w:rPr>
        <w:footnoteReference w:id="4"/>
      </w:r>
    </w:p>
    <w:p w14:paraId="0F040566" w14:textId="0EEB303E" w:rsidR="00606099" w:rsidRDefault="00606099" w:rsidP="00BB0EBB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lang w:eastAsia="nl-NL"/>
        </w:rPr>
        <w:t xml:space="preserve">Middeninkomens en starters niet kunnen concurreren met kapitaalkrachtige beleggers </w:t>
      </w:r>
      <w:r w:rsidR="00A43872">
        <w:rPr>
          <w:rFonts w:asciiTheme="minorHAnsi" w:eastAsia="Times New Roman" w:hAnsiTheme="minorHAnsi" w:cstheme="minorHAnsi"/>
          <w:sz w:val="22"/>
          <w:lang w:eastAsia="nl-NL"/>
        </w:rPr>
        <w:t>en een woning in Diemen voor deze groepen zo minder bereikbaar wordt;</w:t>
      </w:r>
    </w:p>
    <w:p w14:paraId="3735DFB6" w14:textId="77777777" w:rsidR="002F19C1" w:rsidRPr="00484A91" w:rsidRDefault="002F19C1" w:rsidP="002F19C1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>
        <w:rPr>
          <w:rFonts w:asciiTheme="minorHAnsi" w:hAnsiTheme="minorHAnsi" w:cstheme="minorHAnsi"/>
          <w:sz w:val="22"/>
        </w:rPr>
        <w:br/>
      </w:r>
      <w:r w:rsidRPr="00484A91">
        <w:rPr>
          <w:rFonts w:asciiTheme="minorHAnsi" w:eastAsia="Times New Roman" w:hAnsiTheme="minorHAnsi" w:cstheme="minorHAnsi"/>
          <w:sz w:val="22"/>
          <w:lang w:eastAsia="nl-NL"/>
        </w:rPr>
        <w:t xml:space="preserve">Overwegende dat: </w:t>
      </w:r>
      <w:r>
        <w:rPr>
          <w:rFonts w:asciiTheme="minorHAnsi" w:eastAsia="Times New Roman" w:hAnsiTheme="minorHAnsi" w:cstheme="minorHAnsi"/>
          <w:sz w:val="22"/>
          <w:lang w:eastAsia="nl-NL"/>
        </w:rPr>
        <w:br/>
      </w:r>
    </w:p>
    <w:p w14:paraId="151EE9D2" w14:textId="61F265F0" w:rsidR="007402EA" w:rsidRDefault="007402EA" w:rsidP="0026515F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lang w:eastAsia="nl-NL"/>
        </w:rPr>
        <w:t>We in Diemen willen bouwen voor bewoners, niet voor beleggers;</w:t>
      </w:r>
    </w:p>
    <w:p w14:paraId="590D93EF" w14:textId="72E6A398" w:rsidR="0026515F" w:rsidRDefault="0026515F" w:rsidP="0026515F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8E5C08">
        <w:rPr>
          <w:rFonts w:asciiTheme="minorHAnsi" w:eastAsia="Times New Roman" w:hAnsiTheme="minorHAnsi" w:cstheme="minorHAnsi"/>
          <w:sz w:val="22"/>
          <w:lang w:eastAsia="nl-NL"/>
        </w:rPr>
        <w:t xml:space="preserve">Een zelfbewoningsplicht er voor zorgt dat de koper een verplichting heeft om </w:t>
      </w:r>
      <w:r w:rsidR="00107832">
        <w:rPr>
          <w:rFonts w:asciiTheme="minorHAnsi" w:eastAsia="Times New Roman" w:hAnsiTheme="minorHAnsi" w:cstheme="minorHAnsi"/>
          <w:sz w:val="22"/>
          <w:lang w:eastAsia="nl-NL"/>
        </w:rPr>
        <w:t xml:space="preserve">zelf in </w:t>
      </w:r>
      <w:r w:rsidR="00D70DC2">
        <w:rPr>
          <w:rFonts w:asciiTheme="minorHAnsi" w:eastAsia="Times New Roman" w:hAnsiTheme="minorHAnsi" w:cstheme="minorHAnsi"/>
          <w:sz w:val="22"/>
          <w:lang w:eastAsia="nl-NL"/>
        </w:rPr>
        <w:t xml:space="preserve">de woning te gaan wonen </w:t>
      </w:r>
      <w:r w:rsidRPr="008E5C08">
        <w:rPr>
          <w:rFonts w:asciiTheme="minorHAnsi" w:eastAsia="Times New Roman" w:hAnsiTheme="minorHAnsi" w:cstheme="minorHAnsi"/>
          <w:sz w:val="22"/>
          <w:lang w:eastAsia="nl-NL"/>
        </w:rPr>
        <w:t>en dat deze clausule er voor zorgt dat een woning niet aangeschaft kan worden om te</w:t>
      </w:r>
      <w:r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  <w:r w:rsidRPr="008E5C08">
        <w:rPr>
          <w:rFonts w:asciiTheme="minorHAnsi" w:eastAsia="Times New Roman" w:hAnsiTheme="minorHAnsi" w:cstheme="minorHAnsi"/>
          <w:sz w:val="22"/>
          <w:lang w:eastAsia="nl-NL"/>
        </w:rPr>
        <w:t>verhuren (</w:t>
      </w:r>
      <w:r w:rsidR="00D70DC2">
        <w:rPr>
          <w:rFonts w:asciiTheme="minorHAnsi" w:eastAsia="Times New Roman" w:hAnsiTheme="minorHAnsi" w:cstheme="minorHAnsi"/>
          <w:sz w:val="22"/>
          <w:lang w:eastAsia="nl-NL"/>
        </w:rPr>
        <w:t>‘</w:t>
      </w:r>
      <w:proofErr w:type="spellStart"/>
      <w:r w:rsidRPr="008E5C08">
        <w:rPr>
          <w:rFonts w:asciiTheme="minorHAnsi" w:eastAsia="Times New Roman" w:hAnsiTheme="minorHAnsi" w:cstheme="minorHAnsi"/>
          <w:sz w:val="22"/>
          <w:lang w:eastAsia="nl-NL"/>
        </w:rPr>
        <w:t>buy</w:t>
      </w:r>
      <w:proofErr w:type="spellEnd"/>
      <w:r w:rsidRPr="008E5C08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  <w:proofErr w:type="spellStart"/>
      <w:r w:rsidRPr="008E5C08">
        <w:rPr>
          <w:rFonts w:asciiTheme="minorHAnsi" w:eastAsia="Times New Roman" w:hAnsiTheme="minorHAnsi" w:cstheme="minorHAnsi"/>
          <w:sz w:val="22"/>
          <w:lang w:eastAsia="nl-NL"/>
        </w:rPr>
        <w:t>to</w:t>
      </w:r>
      <w:proofErr w:type="spellEnd"/>
      <w:r w:rsidRPr="008E5C08">
        <w:rPr>
          <w:rFonts w:asciiTheme="minorHAnsi" w:eastAsia="Times New Roman" w:hAnsiTheme="minorHAnsi" w:cstheme="minorHAnsi"/>
          <w:sz w:val="22"/>
          <w:lang w:eastAsia="nl-NL"/>
        </w:rPr>
        <w:t xml:space="preserve"> let</w:t>
      </w:r>
      <w:r w:rsidR="00D70DC2">
        <w:rPr>
          <w:rFonts w:asciiTheme="minorHAnsi" w:eastAsia="Times New Roman" w:hAnsiTheme="minorHAnsi" w:cstheme="minorHAnsi"/>
          <w:sz w:val="22"/>
          <w:lang w:eastAsia="nl-NL"/>
        </w:rPr>
        <w:t>’</w:t>
      </w:r>
      <w:r w:rsidRPr="008E5C08">
        <w:rPr>
          <w:rFonts w:asciiTheme="minorHAnsi" w:eastAsia="Times New Roman" w:hAnsiTheme="minorHAnsi" w:cstheme="minorHAnsi"/>
          <w:sz w:val="22"/>
          <w:lang w:eastAsia="nl-NL"/>
        </w:rPr>
        <w:t>)</w:t>
      </w:r>
      <w:r>
        <w:rPr>
          <w:rFonts w:asciiTheme="minorHAnsi" w:eastAsia="Times New Roman" w:hAnsiTheme="minorHAnsi" w:cstheme="minorHAnsi"/>
          <w:sz w:val="22"/>
          <w:lang w:eastAsia="nl-NL"/>
        </w:rPr>
        <w:t>;</w:t>
      </w:r>
    </w:p>
    <w:p w14:paraId="66F9D692" w14:textId="77777777" w:rsidR="002F19C1" w:rsidRPr="00484A91" w:rsidRDefault="002F19C1" w:rsidP="002F19C1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</w:p>
    <w:p w14:paraId="19A988C4" w14:textId="77777777" w:rsidR="002F19C1" w:rsidRPr="00484A91" w:rsidRDefault="002F19C1" w:rsidP="002F19C1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484A91">
        <w:rPr>
          <w:rFonts w:asciiTheme="minorHAnsi" w:hAnsiTheme="minorHAnsi" w:cstheme="minorHAnsi"/>
          <w:sz w:val="22"/>
        </w:rPr>
        <w:t>Verzoekt het college om:</w:t>
      </w:r>
      <w:r>
        <w:rPr>
          <w:rFonts w:asciiTheme="minorHAnsi" w:hAnsiTheme="minorHAnsi" w:cstheme="minorHAnsi"/>
          <w:sz w:val="22"/>
        </w:rPr>
        <w:br/>
      </w:r>
    </w:p>
    <w:p w14:paraId="27F23CBB" w14:textId="2CE8C712" w:rsidR="00AF7696" w:rsidRDefault="6208764D" w:rsidP="6208764D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Bidi"/>
          <w:sz w:val="22"/>
          <w:lang w:eastAsia="nl-NL"/>
        </w:rPr>
      </w:pPr>
      <w:r w:rsidRPr="6208764D">
        <w:rPr>
          <w:rFonts w:asciiTheme="minorHAnsi" w:eastAsia="Times New Roman" w:hAnsiTheme="minorHAnsi" w:cstheme="minorBidi"/>
          <w:sz w:val="22"/>
          <w:lang w:eastAsia="nl-NL"/>
        </w:rPr>
        <w:t>Bij nieuwe koopwoningen te realiseren op grond van de gemeente standaard in de voorwaarden een zelfbewoningsplicht met kettingbeding op te nemen;</w:t>
      </w:r>
    </w:p>
    <w:p w14:paraId="4B1879DC" w14:textId="36829267" w:rsidR="00EE5150" w:rsidRPr="00EE5150" w:rsidRDefault="6208764D" w:rsidP="6208764D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Bidi"/>
          <w:sz w:val="22"/>
          <w:lang w:eastAsia="nl-NL"/>
        </w:rPr>
      </w:pPr>
      <w:r w:rsidRPr="6208764D">
        <w:rPr>
          <w:rFonts w:asciiTheme="minorHAnsi" w:hAnsiTheme="minorHAnsi" w:cstheme="minorBidi"/>
          <w:sz w:val="22"/>
        </w:rPr>
        <w:t>Bij nieuwe projecten op grond van private partijen, indien juridisch mogelijk, een zelfbewoningsplicht met kettingbeding op te nemen in een anterieure overeenkomst;</w:t>
      </w:r>
    </w:p>
    <w:p w14:paraId="52A38CF9" w14:textId="57537CAA" w:rsidR="002F19C1" w:rsidRPr="00F978CB" w:rsidRDefault="00EE5150" w:rsidP="6208764D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Bidi"/>
          <w:sz w:val="22"/>
          <w:lang w:eastAsia="nl-NL"/>
        </w:rPr>
      </w:pPr>
      <w:r w:rsidRPr="6208764D">
        <w:rPr>
          <w:rFonts w:asciiTheme="minorHAnsi" w:hAnsiTheme="minorHAnsi" w:cstheme="minorBidi"/>
          <w:sz w:val="22"/>
        </w:rPr>
        <w:t xml:space="preserve">Te onderzoeken of het ook mogelijk is een zelfbewoningsplicht </w:t>
      </w:r>
      <w:r w:rsidR="002A0FAE" w:rsidRPr="6208764D">
        <w:rPr>
          <w:rFonts w:asciiTheme="minorHAnsi" w:hAnsiTheme="minorHAnsi" w:cstheme="minorBidi"/>
          <w:sz w:val="22"/>
        </w:rPr>
        <w:t>in te voeren voor bestaande bouw.</w:t>
      </w:r>
      <w:r w:rsidR="00AF7696" w:rsidRPr="00F978CB">
        <w:rPr>
          <w:rFonts w:asciiTheme="minorHAnsi" w:eastAsia="Times New Roman" w:hAnsiTheme="minorHAnsi" w:cstheme="minorHAnsi"/>
          <w:sz w:val="22"/>
          <w:lang w:eastAsia="nl-NL"/>
        </w:rPr>
        <w:cr/>
      </w:r>
      <w:r w:rsidR="002F19C1" w:rsidRPr="6208764D">
        <w:rPr>
          <w:rFonts w:asciiTheme="minorHAnsi" w:eastAsia="Times New Roman" w:hAnsiTheme="minorHAnsi" w:cstheme="minorBidi"/>
          <w:sz w:val="22"/>
          <w:lang w:eastAsia="nl-NL"/>
        </w:rPr>
        <w:t xml:space="preserve"> </w:t>
      </w:r>
      <w:r>
        <w:br/>
      </w:r>
    </w:p>
    <w:p w14:paraId="2BB5BCD7" w14:textId="5D632A4D" w:rsidR="003B14DA" w:rsidRPr="00EE0127" w:rsidRDefault="002F19C1" w:rsidP="00EE0127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484A91">
        <w:rPr>
          <w:rFonts w:asciiTheme="minorHAnsi" w:eastAsia="Times New Roman" w:hAnsiTheme="minorHAnsi" w:cstheme="minorHAnsi"/>
          <w:sz w:val="22"/>
          <w:lang w:eastAsia="nl-NL"/>
        </w:rPr>
        <w:t>En gaat over tot de orde van de dag</w:t>
      </w:r>
      <w:r>
        <w:rPr>
          <w:rFonts w:asciiTheme="minorHAnsi" w:eastAsia="Times New Roman" w:hAnsiTheme="minorHAnsi" w:cstheme="minorHAnsi"/>
          <w:sz w:val="22"/>
          <w:lang w:eastAsia="nl-NL"/>
        </w:rPr>
        <w:t>.</w:t>
      </w:r>
      <w:r>
        <w:rPr>
          <w:rFonts w:asciiTheme="minorHAnsi" w:eastAsia="Times New Roman" w:hAnsiTheme="minorHAnsi" w:cstheme="minorHAnsi"/>
          <w:sz w:val="22"/>
          <w:lang w:eastAsia="nl-NL"/>
        </w:rPr>
        <w:br/>
      </w:r>
      <w:r>
        <w:rPr>
          <w:rFonts w:asciiTheme="minorHAnsi" w:eastAsia="Times New Roman" w:hAnsiTheme="minorHAnsi" w:cstheme="minorHAnsi"/>
          <w:sz w:val="22"/>
          <w:lang w:eastAsia="nl-NL"/>
        </w:rPr>
        <w:br/>
        <w:t xml:space="preserve">Nico </w:t>
      </w:r>
      <w:proofErr w:type="spellStart"/>
      <w:r>
        <w:rPr>
          <w:rFonts w:asciiTheme="minorHAnsi" w:eastAsia="Times New Roman" w:hAnsiTheme="minorHAnsi" w:cstheme="minorHAnsi"/>
          <w:sz w:val="22"/>
          <w:lang w:eastAsia="nl-NL"/>
        </w:rPr>
        <w:t>Portegijs</w:t>
      </w:r>
      <w:proofErr w:type="spellEnd"/>
      <w:r>
        <w:rPr>
          <w:rFonts w:asciiTheme="minorHAnsi" w:eastAsia="Times New Roman" w:hAnsiTheme="minorHAnsi" w:cstheme="minorHAnsi"/>
          <w:sz w:val="22"/>
          <w:lang w:eastAsia="nl-NL"/>
        </w:rPr>
        <w:br/>
        <w:t>Sofie Kuilman</w:t>
      </w:r>
      <w:r>
        <w:rPr>
          <w:rFonts w:asciiTheme="minorHAnsi" w:eastAsia="Times New Roman" w:hAnsiTheme="minorHAnsi" w:cstheme="minorHAnsi"/>
          <w:sz w:val="22"/>
          <w:lang w:eastAsia="nl-NL"/>
        </w:rPr>
        <w:br/>
        <w:t>Frank Geerts</w:t>
      </w:r>
    </w:p>
    <w:sectPr w:rsidR="003B14DA" w:rsidRPr="00EE01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4AB6" w14:textId="77777777" w:rsidR="0018229E" w:rsidRDefault="0018229E" w:rsidP="004B455F">
      <w:pPr>
        <w:spacing w:after="0" w:line="240" w:lineRule="auto"/>
      </w:pPr>
      <w:r>
        <w:separator/>
      </w:r>
    </w:p>
  </w:endnote>
  <w:endnote w:type="continuationSeparator" w:id="0">
    <w:p w14:paraId="7E25E5DC" w14:textId="77777777" w:rsidR="0018229E" w:rsidRDefault="0018229E" w:rsidP="004B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15BF" w14:textId="77777777" w:rsidR="0018229E" w:rsidRDefault="0018229E" w:rsidP="004B455F">
      <w:pPr>
        <w:spacing w:after="0" w:line="240" w:lineRule="auto"/>
      </w:pPr>
      <w:r>
        <w:separator/>
      </w:r>
    </w:p>
  </w:footnote>
  <w:footnote w:type="continuationSeparator" w:id="0">
    <w:p w14:paraId="16FAA2E6" w14:textId="77777777" w:rsidR="0018229E" w:rsidRDefault="0018229E" w:rsidP="004B455F">
      <w:pPr>
        <w:spacing w:after="0" w:line="240" w:lineRule="auto"/>
      </w:pPr>
      <w:r>
        <w:continuationSeparator/>
      </w:r>
    </w:p>
  </w:footnote>
  <w:footnote w:id="1">
    <w:p w14:paraId="7C22BF7F" w14:textId="152D13DB" w:rsidR="00191710" w:rsidRPr="009B6A93" w:rsidRDefault="00191710">
      <w:pPr>
        <w:pStyle w:val="Voetnoottekst"/>
        <w:rPr>
          <w:rFonts w:asciiTheme="minorHAnsi" w:hAnsiTheme="minorHAnsi" w:cstheme="minorHAnsi"/>
        </w:rPr>
      </w:pPr>
      <w:r>
        <w:rPr>
          <w:rStyle w:val="Voetnootmarkering"/>
        </w:rPr>
        <w:footnoteRef/>
      </w:r>
      <w:r>
        <w:t xml:space="preserve"> </w:t>
      </w:r>
      <w:r w:rsidR="00FE1E41" w:rsidRPr="00D44546">
        <w:rPr>
          <w:rFonts w:asciiTheme="minorHAnsi" w:hAnsiTheme="minorHAnsi" w:cstheme="minorHAnsi"/>
        </w:rPr>
        <w:t>Harst, F. van der en Vries, P. de</w:t>
      </w:r>
      <w:r w:rsidR="00755B56">
        <w:rPr>
          <w:rFonts w:asciiTheme="minorHAnsi" w:hAnsiTheme="minorHAnsi" w:cstheme="minorHAnsi"/>
        </w:rPr>
        <w:t xml:space="preserve"> (Raad voor de leefomgeving en infrastructuur)</w:t>
      </w:r>
      <w:r w:rsidR="00FE1E41" w:rsidRPr="00D44546">
        <w:rPr>
          <w:rFonts w:asciiTheme="minorHAnsi" w:hAnsiTheme="minorHAnsi" w:cstheme="minorHAnsi"/>
        </w:rPr>
        <w:t xml:space="preserve">, </w:t>
      </w:r>
      <w:r w:rsidR="00FE1E41" w:rsidRPr="00D44546">
        <w:rPr>
          <w:rFonts w:asciiTheme="minorHAnsi" w:hAnsiTheme="minorHAnsi" w:cstheme="minorHAnsi"/>
          <w:i/>
          <w:iCs/>
        </w:rPr>
        <w:t xml:space="preserve">Kopen om te verhuren. Onderzoek naar veranderingen in eigendomsverhoudingen </w:t>
      </w:r>
      <w:r w:rsidR="00FE1E41" w:rsidRPr="009B6A93">
        <w:rPr>
          <w:rFonts w:asciiTheme="minorHAnsi" w:hAnsiTheme="minorHAnsi" w:cstheme="minorHAnsi"/>
          <w:i/>
          <w:iCs/>
        </w:rPr>
        <w:t>op de woningmarkt</w:t>
      </w:r>
      <w:r w:rsidR="00FE1E41" w:rsidRPr="009B6A93">
        <w:rPr>
          <w:rFonts w:asciiTheme="minorHAnsi" w:hAnsiTheme="minorHAnsi" w:cstheme="minorHAnsi"/>
        </w:rPr>
        <w:t xml:space="preserve">, </w:t>
      </w:r>
      <w:r w:rsidR="00D44546" w:rsidRPr="009B6A93">
        <w:rPr>
          <w:rFonts w:asciiTheme="minorHAnsi" w:hAnsiTheme="minorHAnsi" w:cstheme="minorHAnsi"/>
        </w:rPr>
        <w:t xml:space="preserve">pag. 16. </w:t>
      </w:r>
    </w:p>
  </w:footnote>
  <w:footnote w:id="2">
    <w:p w14:paraId="2E8022AE" w14:textId="7BB1829B" w:rsidR="009B6A93" w:rsidRDefault="009B6A93">
      <w:pPr>
        <w:pStyle w:val="Voetnoottekst"/>
      </w:pPr>
      <w:r w:rsidRPr="009B6A93">
        <w:rPr>
          <w:rStyle w:val="Voetnootmarkering"/>
          <w:rFonts w:asciiTheme="minorHAnsi" w:hAnsiTheme="minorHAnsi" w:cstheme="minorHAnsi"/>
        </w:rPr>
        <w:footnoteRef/>
      </w:r>
      <w:r w:rsidRPr="009B6A93">
        <w:rPr>
          <w:rFonts w:asciiTheme="minorHAnsi" w:hAnsiTheme="minorHAnsi" w:cstheme="minorHAnsi"/>
        </w:rPr>
        <w:t xml:space="preserve"> Ibidem, pag. 17.</w:t>
      </w:r>
    </w:p>
  </w:footnote>
  <w:footnote w:id="3">
    <w:p w14:paraId="3177822B" w14:textId="36DE79AB" w:rsidR="007F3A96" w:rsidRPr="007F3A96" w:rsidRDefault="007F3A96">
      <w:pPr>
        <w:pStyle w:val="Voetnoottekst"/>
        <w:rPr>
          <w:rFonts w:asciiTheme="minorHAnsi" w:hAnsiTheme="minorHAnsi" w:cstheme="minorHAnsi"/>
        </w:rPr>
      </w:pPr>
      <w:r w:rsidRPr="007F3A96">
        <w:rPr>
          <w:rStyle w:val="Voetnootmarkering"/>
          <w:rFonts w:asciiTheme="minorHAnsi" w:hAnsiTheme="minorHAnsi" w:cstheme="minorHAnsi"/>
        </w:rPr>
        <w:footnoteRef/>
      </w:r>
      <w:r w:rsidRPr="007F3A96">
        <w:rPr>
          <w:rFonts w:asciiTheme="minorHAnsi" w:hAnsiTheme="minorHAnsi" w:cstheme="minorHAnsi"/>
        </w:rPr>
        <w:t xml:space="preserve"> Ibidem, pag. 21.</w:t>
      </w:r>
    </w:p>
  </w:footnote>
  <w:footnote w:id="4">
    <w:p w14:paraId="1CBC5855" w14:textId="77777777" w:rsidR="00BB0EBB" w:rsidRPr="00A05FAD" w:rsidRDefault="00BB0EBB" w:rsidP="00BB0EB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05FAD">
        <w:rPr>
          <w:rFonts w:asciiTheme="minorHAnsi" w:hAnsiTheme="minorHAnsi" w:cstheme="minorHAnsi"/>
        </w:rPr>
        <w:t xml:space="preserve">De Nederlandsche Bank, </w:t>
      </w:r>
      <w:r w:rsidRPr="00A05FAD">
        <w:rPr>
          <w:rFonts w:asciiTheme="minorHAnsi" w:hAnsiTheme="minorHAnsi" w:cstheme="minorHAnsi"/>
          <w:i/>
          <w:iCs/>
        </w:rPr>
        <w:t xml:space="preserve">Overzicht Financiële Stabiliteit. Najaar 2019, </w:t>
      </w:r>
      <w:hyperlink r:id="rId1" w:history="1">
        <w:r w:rsidRPr="00A05FAD">
          <w:rPr>
            <w:rStyle w:val="Hyperlink"/>
            <w:rFonts w:asciiTheme="minorHAnsi" w:hAnsiTheme="minorHAnsi" w:cstheme="minorHAnsi"/>
          </w:rPr>
          <w:t>https://www.dnb.nl/binaries/OFS_najaar_2019_tcm46-385944.pdf</w:t>
        </w:r>
      </w:hyperlink>
      <w:r w:rsidRPr="00A05FAD">
        <w:rPr>
          <w:rFonts w:asciiTheme="minorHAnsi" w:hAnsiTheme="minorHAnsi" w:cstheme="minorHAnsi"/>
        </w:rPr>
        <w:t>, pag. 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81DBE"/>
    <w:multiLevelType w:val="hybridMultilevel"/>
    <w:tmpl w:val="64B04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7564C"/>
    <w:multiLevelType w:val="hybridMultilevel"/>
    <w:tmpl w:val="89DE7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D02DE"/>
    <w:multiLevelType w:val="hybridMultilevel"/>
    <w:tmpl w:val="B9A6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55"/>
    <w:rsid w:val="00050D04"/>
    <w:rsid w:val="000F2908"/>
    <w:rsid w:val="00107832"/>
    <w:rsid w:val="00157694"/>
    <w:rsid w:val="001616D0"/>
    <w:rsid w:val="0018229E"/>
    <w:rsid w:val="00187E2B"/>
    <w:rsid w:val="00191710"/>
    <w:rsid w:val="001920B5"/>
    <w:rsid w:val="00196B55"/>
    <w:rsid w:val="001E7C18"/>
    <w:rsid w:val="002522E0"/>
    <w:rsid w:val="0026515F"/>
    <w:rsid w:val="002A0FAE"/>
    <w:rsid w:val="002E2606"/>
    <w:rsid w:val="002F19C1"/>
    <w:rsid w:val="00425A26"/>
    <w:rsid w:val="004A71C4"/>
    <w:rsid w:val="004B455F"/>
    <w:rsid w:val="004C25E7"/>
    <w:rsid w:val="005313E7"/>
    <w:rsid w:val="005D6742"/>
    <w:rsid w:val="00606099"/>
    <w:rsid w:val="006619F2"/>
    <w:rsid w:val="00683965"/>
    <w:rsid w:val="007402EA"/>
    <w:rsid w:val="00755B56"/>
    <w:rsid w:val="007F3A96"/>
    <w:rsid w:val="0081635C"/>
    <w:rsid w:val="008652B0"/>
    <w:rsid w:val="008E5C08"/>
    <w:rsid w:val="00940409"/>
    <w:rsid w:val="00961353"/>
    <w:rsid w:val="009B6A93"/>
    <w:rsid w:val="00A05FAD"/>
    <w:rsid w:val="00A43872"/>
    <w:rsid w:val="00AF7696"/>
    <w:rsid w:val="00BB0EBB"/>
    <w:rsid w:val="00D262E8"/>
    <w:rsid w:val="00D32807"/>
    <w:rsid w:val="00D44546"/>
    <w:rsid w:val="00D6145A"/>
    <w:rsid w:val="00D70DC2"/>
    <w:rsid w:val="00E319F3"/>
    <w:rsid w:val="00E87E2A"/>
    <w:rsid w:val="00EE0127"/>
    <w:rsid w:val="00EE1D64"/>
    <w:rsid w:val="00EE5150"/>
    <w:rsid w:val="00F978CB"/>
    <w:rsid w:val="00FE1E41"/>
    <w:rsid w:val="620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B4A0"/>
  <w15:docId w15:val="{547D86AF-0AF7-4557-9FB9-AF903E44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19C1"/>
    <w:rPr>
      <w:rFonts w:ascii="Arial" w:hAnsi="Arial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19C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B45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B455F"/>
    <w:rPr>
      <w:rFonts w:ascii="Arial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B455F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4B455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nb.nl/binaries/OFS_najaar_2019_tcm46-385944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D347-40C4-4D15-9A65-94BFF07E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80DDBA8E</Template>
  <TotalTime>0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Kuilman</dc:creator>
  <cp:lastModifiedBy>Djairo Terpstra</cp:lastModifiedBy>
  <cp:revision>2</cp:revision>
  <dcterms:created xsi:type="dcterms:W3CDTF">2019-11-21T15:49:00Z</dcterms:created>
  <dcterms:modified xsi:type="dcterms:W3CDTF">2019-11-21T15:49:00Z</dcterms:modified>
</cp:coreProperties>
</file>