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32"/>
          <w:szCs w:val="32"/>
        </w:rPr>
      </w:pPr>
      <w:r w:rsidDel="00000000" w:rsidR="00000000" w:rsidRPr="00000000">
        <w:rPr>
          <w:rtl w:val="0"/>
        </w:rPr>
        <w:t xml:space="preserve"> </w:t>
      </w:r>
      <w:r w:rsidDel="00000000" w:rsidR="00000000" w:rsidRPr="00000000">
        <w:rPr>
          <w:b w:val="1"/>
          <w:sz w:val="32"/>
          <w:szCs w:val="32"/>
          <w:rtl w:val="0"/>
        </w:rPr>
        <w:t xml:space="preserve">Motie vreemd aan de orde van de dag </w:t>
        <w:br w:type="textWrapping"/>
        <w:t xml:space="preserve">(artikel 29 </w:t>
      </w:r>
      <w:hyperlink r:id="rId6">
        <w:r w:rsidDel="00000000" w:rsidR="00000000" w:rsidRPr="00000000">
          <w:rPr>
            <w:b w:val="1"/>
            <w:color w:val="1155cc"/>
            <w:sz w:val="32"/>
            <w:szCs w:val="32"/>
            <w:u w:val="single"/>
            <w:rtl w:val="0"/>
          </w:rPr>
          <w:t xml:space="preserve">Reglement van Orde</w:t>
        </w:r>
      </w:hyperlink>
      <w:r w:rsidDel="00000000" w:rsidR="00000000" w:rsidRPr="00000000">
        <w:rPr>
          <w:b w:val="1"/>
          <w:sz w:val="32"/>
          <w:szCs w:val="32"/>
          <w:rtl w:val="0"/>
        </w:rPr>
        <w:t xml:space="preserve">)</w:t>
      </w:r>
    </w:p>
    <w:p w:rsidR="00000000" w:rsidDel="00000000" w:rsidP="00000000" w:rsidRDefault="00000000" w:rsidRPr="00000000" w14:paraId="00000001">
      <w:pPr>
        <w:contextualSpacing w:val="0"/>
        <w:rPr>
          <w:sz w:val="24"/>
          <w:szCs w:val="24"/>
        </w:rPr>
      </w:pPr>
      <w:r w:rsidDel="00000000" w:rsidR="00000000" w:rsidRPr="00000000">
        <w:rPr>
          <w:sz w:val="24"/>
          <w:szCs w:val="24"/>
          <w:rtl w:val="0"/>
        </w:rPr>
        <w:t xml:space="preserve">Datum raadsvergadering:</w:t>
        <w:tab/>
        <w:tab/>
        <w:t xml:space="preserve">27 september 2018</w:t>
        <w:br w:type="textWrapping"/>
        <w:t xml:space="preserve">Onderwerp:</w:t>
        <w:tab/>
        <w:tab/>
        <w:tab/>
        <w:tab/>
        <w:t xml:space="preserve">Aansluiten bij Operatie Steenbreek</w:t>
        <w:tab/>
      </w:r>
    </w:p>
    <w:p w:rsidR="00000000" w:rsidDel="00000000" w:rsidP="00000000" w:rsidRDefault="00000000" w:rsidRPr="00000000" w14:paraId="00000002">
      <w:pPr>
        <w:contextualSpacing w:val="0"/>
        <w:rPr>
          <w:sz w:val="32"/>
          <w:szCs w:val="32"/>
        </w:rPr>
      </w:pPr>
      <w:r w:rsidDel="00000000" w:rsidR="00000000" w:rsidRPr="00000000">
        <w:rPr>
          <w:sz w:val="24"/>
          <w:szCs w:val="24"/>
          <w:rtl w:val="0"/>
        </w:rPr>
        <w:t xml:space="preserve">De raad van de gemeente Veere op </w:t>
      </w:r>
      <w:r w:rsidDel="00000000" w:rsidR="00000000" w:rsidRPr="00000000">
        <w:rPr>
          <w:b w:val="1"/>
          <w:sz w:val="24"/>
          <w:szCs w:val="24"/>
          <w:u w:val="single"/>
          <w:rtl w:val="0"/>
        </w:rPr>
        <w:t xml:space="preserve">27 september</w:t>
      </w:r>
      <w:r w:rsidDel="00000000" w:rsidR="00000000" w:rsidRPr="00000000">
        <w:rPr>
          <w:sz w:val="24"/>
          <w:szCs w:val="24"/>
          <w:rtl w:val="0"/>
        </w:rPr>
        <w:t xml:space="preserve"> in vergadering bijeen; gehoord de beraadslaging,</w:t>
      </w: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Overwegende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b w:val="1"/>
          <w:sz w:val="24"/>
          <w:szCs w:val="24"/>
          <w:rtl w:val="0"/>
        </w:rPr>
        <w:t xml:space="preserve">dat: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8.0000000000001"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Groen goed is voor de gezondheid van de inwoners, voor verkoeling, luchtkwaliteit en biodiversiteit; </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8.0000000000001"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 veel bestrating (in onze tuinen) zorgt voor problemen tijdens hoosbuien door klimaatverandering lijken deze hoosbuien vaker voor te gaan komen en dat ook Veere zich hier op moet voorbereiden; </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8.0000000000001"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Niet alleen tuinen maar ook schoolpleinen zouden meer uit groen en minder uit steen moeten bestaan; </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8.0000000000001"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 veel bestrating zorgt voor vermindering van biodiversiteit; - te veel bestrating zorgt voor opwarming van stedelijk gebied; </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8.0000000000001"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Operatie Steenbreek een landelijke campagne is waarbij diverse gemeenten zijn aangesloten, met als doel inwoners te stimuleren en te inspireren om hun tuinen groener in te richten;</w:t>
        <w:br w:type="textWrapping"/>
      </w:r>
      <w:r w:rsidDel="00000000" w:rsidR="00000000" w:rsidRPr="00000000">
        <w:rPr>
          <w:rtl w:val="0"/>
        </w:rPr>
      </w:r>
    </w:p>
    <w:p w:rsidR="00000000" w:rsidDel="00000000" w:rsidP="00000000" w:rsidRDefault="00000000" w:rsidRPr="00000000" w14:paraId="00000009">
      <w:pPr>
        <w:contextualSpacing w:val="0"/>
        <w:rPr>
          <w:b w:val="1"/>
          <w:sz w:val="24"/>
          <w:szCs w:val="24"/>
        </w:rPr>
      </w:pPr>
      <w:r w:rsidDel="00000000" w:rsidR="00000000" w:rsidRPr="00000000">
        <w:rPr>
          <w:b w:val="1"/>
          <w:sz w:val="24"/>
          <w:szCs w:val="24"/>
          <w:rtl w:val="0"/>
        </w:rPr>
        <w:t xml:space="preserve">Is van mening dat:</w:t>
      </w:r>
    </w:p>
    <w:p w:rsidR="00000000" w:rsidDel="00000000" w:rsidP="00000000" w:rsidRDefault="00000000" w:rsidRPr="00000000" w14:paraId="0000000A">
      <w:pPr>
        <w:numPr>
          <w:ilvl w:val="0"/>
          <w:numId w:val="2"/>
        </w:numPr>
        <w:spacing w:after="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gemeente een voorbeeldfunctie heeft</w:t>
      </w:r>
    </w:p>
    <w:p w:rsidR="00000000" w:rsidDel="00000000" w:rsidP="00000000" w:rsidRDefault="00000000" w:rsidRPr="00000000" w14:paraId="0000000B">
      <w:pPr>
        <w:numPr>
          <w:ilvl w:val="0"/>
          <w:numId w:val="2"/>
        </w:numPr>
        <w:spacing w:after="0" w:lineRule="auto"/>
        <w:ind w:left="720" w:hanging="360"/>
        <w:contextualSpacing w:val="1"/>
        <w:rPr>
          <w:rFonts w:ascii="Times New Roman" w:cs="Times New Roman" w:eastAsia="Times New Roman" w:hAnsi="Times New Roman"/>
          <w:sz w:val="24"/>
          <w:szCs w:val="24"/>
          <w:u w:val="none"/>
        </w:rPr>
      </w:pPr>
      <w:r w:rsidDel="00000000" w:rsidR="00000000" w:rsidRPr="00000000">
        <w:rPr>
          <w:sz w:val="24"/>
          <w:szCs w:val="24"/>
          <w:rtl w:val="0"/>
        </w:rPr>
        <w:t xml:space="preserve">Gezamenlijk stappen zetten om te vergroenen voordelen heeft;</w:t>
      </w:r>
      <w:r w:rsidDel="00000000" w:rsidR="00000000" w:rsidRPr="00000000">
        <w:rPr>
          <w:rtl w:val="0"/>
        </w:rPr>
      </w:r>
    </w:p>
    <w:p w:rsidR="00000000" w:rsidDel="00000000" w:rsidP="00000000" w:rsidRDefault="00000000" w:rsidRPr="00000000" w14:paraId="0000000C">
      <w:pPr>
        <w:numPr>
          <w:ilvl w:val="0"/>
          <w:numId w:val="2"/>
        </w:numPr>
        <w:spacing w:after="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w:t>
      </w:r>
      <w:r w:rsidDel="00000000" w:rsidR="00000000" w:rsidRPr="00000000">
        <w:rPr>
          <w:sz w:val="24"/>
          <w:szCs w:val="24"/>
          <w:rtl w:val="0"/>
        </w:rPr>
        <w:t xml:space="preserve">e samen het verschil kunnen maken;</w:t>
      </w:r>
      <w:r w:rsidDel="00000000" w:rsidR="00000000" w:rsidRPr="00000000">
        <w:rPr>
          <w:rtl w:val="0"/>
        </w:rPr>
      </w:r>
    </w:p>
    <w:p w:rsidR="00000000" w:rsidDel="00000000" w:rsidP="00000000" w:rsidRDefault="00000000" w:rsidRPr="00000000" w14:paraId="0000000D">
      <w:pPr>
        <w:numPr>
          <w:ilvl w:val="0"/>
          <w:numId w:val="2"/>
        </w:numPr>
        <w:spacing w:after="0" w:lineRule="auto"/>
        <w:ind w:left="720" w:hanging="360"/>
        <w:contextualSpacing w:val="1"/>
        <w:rPr>
          <w:rFonts w:ascii="Times New Roman" w:cs="Times New Roman" w:eastAsia="Times New Roman" w:hAnsi="Times New Roman"/>
          <w:sz w:val="24"/>
          <w:szCs w:val="24"/>
          <w:u w:val="none"/>
        </w:rPr>
      </w:pPr>
      <w:r w:rsidDel="00000000" w:rsidR="00000000" w:rsidRPr="00000000">
        <w:rPr>
          <w:sz w:val="24"/>
          <w:szCs w:val="24"/>
          <w:rtl w:val="0"/>
        </w:rPr>
        <w:t xml:space="preserve">We samen kunnen zorgen voor een klimaatbestendige en gezonde samenleving én leefomgeving;       </w:t>
        <w:br w:type="textWrapping"/>
      </w:r>
    </w:p>
    <w:p w:rsidR="00000000" w:rsidDel="00000000" w:rsidP="00000000" w:rsidRDefault="00000000" w:rsidRPr="00000000" w14:paraId="0000000E">
      <w:pPr>
        <w:contextualSpacing w:val="0"/>
        <w:rPr>
          <w:b w:val="1"/>
          <w:sz w:val="24"/>
          <w:szCs w:val="24"/>
        </w:rPr>
      </w:pPr>
      <w:r w:rsidDel="00000000" w:rsidR="00000000" w:rsidRPr="00000000">
        <w:rPr>
          <w:b w:val="1"/>
          <w:sz w:val="24"/>
          <w:szCs w:val="24"/>
          <w:rtl w:val="0"/>
        </w:rPr>
        <w:t xml:space="preserve">Draagt het college op om:</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als gemeente het goede voorbeeld te geven en waar mogelijk te kiezen voor groen in de openbare ruimte en waar mogelijk te zorgen voor ontstening.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samen te werken met inwoners en organisaties in de gemeente en hen actief te informeren en te ondersteunen, zodat zoveel mogelijk groen in stand blijft en steen vervangen wordt door groen.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ook inwoners hierbij te betrekken die geen tuin hebben, door bijvoorbeeld het plaatsen van planten op het balkon en het onderhoud van gemeenschappelijk groen, een bijdrage kunnen leveren;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zich aan te sluiten bij Operatie Steenbreek.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Inzichtelijk te maken welke stappen de gemeente kan zetten in het kader van Steenbreek met de daarbij behorende kosten.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de kosten van € 2.500 per jaar voor dit jaar te dekken uit de post onvoorzien en daarna mee te nemen in de kadernota; </w:t>
      </w:r>
      <w:r w:rsidDel="00000000" w:rsidR="00000000" w:rsidRPr="00000000">
        <w:rPr>
          <w:rtl w:val="0"/>
        </w:rPr>
      </w:r>
    </w:p>
    <w:p w:rsidR="00000000" w:rsidDel="00000000" w:rsidP="00000000" w:rsidRDefault="00000000" w:rsidRPr="00000000" w14:paraId="00000015">
      <w:pPr>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sz w:val="24"/>
          <w:szCs w:val="24"/>
          <w:rtl w:val="0"/>
        </w:rPr>
        <w:t xml:space="preserve">En gaat over tot de orde van de dag,</w:t>
      </w:r>
    </w:p>
    <w:p w:rsidR="00000000" w:rsidDel="00000000" w:rsidP="00000000" w:rsidRDefault="00000000" w:rsidRPr="00000000" w14:paraId="00000017">
      <w:pPr>
        <w:contextualSpacing w:val="0"/>
        <w:rPr>
          <w:sz w:val="24"/>
          <w:szCs w:val="24"/>
        </w:rPr>
      </w:pPr>
      <w:r w:rsidDel="00000000" w:rsidR="00000000" w:rsidRPr="00000000">
        <w:rPr>
          <w:sz w:val="24"/>
          <w:szCs w:val="24"/>
          <w:rtl w:val="0"/>
        </w:rPr>
        <w:t xml:space="preserve">Is ondertekend door:</w:t>
      </w:r>
    </w:p>
    <w:p w:rsidR="00000000" w:rsidDel="00000000" w:rsidP="00000000" w:rsidRDefault="00000000" w:rsidRPr="00000000" w14:paraId="00000018">
      <w:pPr>
        <w:contextualSpacing w:val="0"/>
        <w:rPr>
          <w:sz w:val="24"/>
          <w:szCs w:val="24"/>
        </w:rPr>
      </w:pPr>
      <w:r w:rsidDel="00000000" w:rsidR="00000000" w:rsidRPr="00000000">
        <w:rPr>
          <w:sz w:val="24"/>
          <w:szCs w:val="24"/>
          <w:rtl w:val="0"/>
        </w:rPr>
        <w:t xml:space="preserve">De fractie van PvdA/GroenLinks</w:t>
        <w:br w:type="textWrapping"/>
        <w:t xml:space="preserve">Tom Lievense</w:t>
      </w:r>
    </w:p>
    <w:p w:rsidR="00000000" w:rsidDel="00000000" w:rsidP="00000000" w:rsidRDefault="00000000" w:rsidRPr="00000000" w14:paraId="00000019">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ONDERTEKENING</w:t>
      </w:r>
    </w:p>
    <w:tbl>
      <w:tblPr>
        <w:tblStyle w:val="Table1"/>
        <w:tblW w:w="90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4.4"/>
        <w:gridCol w:w="1814.4"/>
        <w:gridCol w:w="1814.4"/>
        <w:gridCol w:w="1814.4"/>
        <w:gridCol w:w="1814.4"/>
        <w:tblGridChange w:id="0">
          <w:tblGrid>
            <w:gridCol w:w="1814.4"/>
            <w:gridCol w:w="1814.4"/>
            <w:gridCol w:w="1814.4"/>
            <w:gridCol w:w="1814.4"/>
            <w:gridCol w:w="1814.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Fractie SGP/CU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Fractie PvdA/GL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Fractie DTV</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Fractie CDA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Fractie DTV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spacing w:after="0" w:line="240" w:lineRule="auto"/>
              <w:contextualSpacing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contextualSpacing w:val="0"/>
              <w:rPr>
                <w:rFonts w:ascii="Arial" w:cs="Arial" w:eastAsia="Arial" w:hAnsi="Arial"/>
              </w:rPr>
            </w:pPr>
            <w:r w:rsidDel="00000000" w:rsidR="00000000" w:rsidRPr="00000000">
              <w:rPr>
                <w:rFonts w:ascii="Arial" w:cs="Arial" w:eastAsia="Arial" w:hAnsi="Arial"/>
              </w:rPr>
              <w:drawing>
                <wp:inline distB="114300" distT="114300" distL="114300" distR="114300">
                  <wp:extent cx="477591" cy="307023"/>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7591" cy="3070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contextualSpacing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contextualSpacing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contextualSpacing w:val="0"/>
              <w:rPr>
                <w:rFonts w:ascii="Arial" w:cs="Arial" w:eastAsia="Arial" w:hAnsi="Arial"/>
              </w:rPr>
            </w:pPr>
            <w:r w:rsidDel="00000000" w:rsidR="00000000" w:rsidRPr="00000000">
              <w:rPr>
                <w:rtl w:val="0"/>
              </w:rPr>
            </w:r>
          </w:p>
        </w:tc>
      </w:tr>
    </w:tbl>
    <w:p w:rsidR="00000000" w:rsidDel="00000000" w:rsidP="00000000" w:rsidRDefault="00000000" w:rsidRPr="00000000" w14:paraId="00000027">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76" w:lineRule="auto"/>
        <w:contextualSpacing w:val="0"/>
        <w:rPr>
          <w:rFonts w:ascii="Arial" w:cs="Arial" w:eastAsia="Arial" w:hAnsi="Arial"/>
        </w:rPr>
      </w:pPr>
      <w:r w:rsidDel="00000000" w:rsidR="00000000" w:rsidRPr="00000000">
        <w:rPr>
          <w:rtl w:val="0"/>
        </w:rPr>
      </w:r>
    </w:p>
    <w:tbl>
      <w:tblPr>
        <w:tblStyle w:val="Table2"/>
        <w:tblW w:w="90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REGLEMENT VAN ORDE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Artikel 29.. Moties</w:t>
              <w:br w:type="textWrapping"/>
              <w:t xml:space="preserve">1. Raadsleden dienen moties schriftelijk in bij de voorzitter.</w:t>
              <w:br w:type="textWrapping"/>
              <w:br w:type="textWrapping"/>
              <w:t xml:space="preserve">2. De behandeling van een motie vindt gelijktijdig plaats met de beraadslaging over het onderwerp of voorstel waarop het betrekking heeft.</w:t>
              <w:br w:type="textWrapping"/>
              <w:br w:type="textWrapping"/>
              <w:t xml:space="preserve">3. De behandeling van een motie over een niet op de agenda opgenomen onderwerp vindt plaats nadat alle op de agenda opgenomen onderwerpen zijn behandeld.</w:t>
              <w:br w:type="textWrapping"/>
              <w:br w:type="textWrapping"/>
              <w:t xml:space="preserve">4. Intrekking door de indiener van een motie is mogelijk totdat de besluitvorming daarover door de raad is afgerond.</w:t>
              <w:br w:type="textWrapping"/>
              <w:br w:type="textWrapping"/>
            </w:r>
          </w:p>
        </w:tc>
      </w:tr>
    </w:tbl>
    <w:p w:rsidR="00000000" w:rsidDel="00000000" w:rsidP="00000000" w:rsidRDefault="00000000" w:rsidRPr="00000000" w14:paraId="0000002B">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C">
      <w:pPr>
        <w:contextualSpacing w:val="0"/>
        <w:rPr>
          <w:sz w:val="24"/>
          <w:szCs w:val="24"/>
        </w:rPr>
      </w:pPr>
      <w:r w:rsidDel="00000000" w:rsidR="00000000" w:rsidRPr="00000000">
        <w:rPr>
          <w:rtl w:val="0"/>
        </w:rPr>
      </w:r>
    </w:p>
    <w:p w:rsidR="00000000" w:rsidDel="00000000" w:rsidP="00000000" w:rsidRDefault="00000000" w:rsidRPr="00000000" w14:paraId="0000002D">
      <w:pPr>
        <w:contextualSpacing w:val="0"/>
        <w:rPr>
          <w:sz w:val="24"/>
          <w:szCs w:val="24"/>
        </w:rPr>
      </w:pPr>
      <w:r w:rsidDel="00000000" w:rsidR="00000000" w:rsidRPr="00000000">
        <w:rPr>
          <w:rtl w:val="0"/>
        </w:rPr>
      </w:r>
    </w:p>
    <w:sectPr>
      <w:headerReference r:id="rId8" w:type="default"/>
      <w:pgSz w:h="16838" w:w="11906"/>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contextualSpacing w:val="0"/>
      <w:rPr/>
    </w:pPr>
    <w:r w:rsidDel="00000000" w:rsidR="00000000" w:rsidRPr="00000000">
      <w:rPr/>
      <w:drawing>
        <wp:inline distB="0" distT="0" distL="114300" distR="114300">
          <wp:extent cx="1938093" cy="280988"/>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938093" cy="280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3">
    <w:lvl w:ilvl="0">
      <w:start w:val="1"/>
      <w:numFmt w:val="bullet"/>
      <w:lvlText w:val="●"/>
      <w:lvlJc w:val="left"/>
      <w:pPr>
        <w:ind w:left="708.0000000000001" w:hanging="360"/>
      </w:pPr>
      <w:rPr>
        <w:rFonts w:ascii="Noto Sans Symbols" w:cs="Noto Sans Symbols" w:eastAsia="Noto Sans Symbols" w:hAnsi="Noto Sans Symbols"/>
      </w:rPr>
    </w:lvl>
    <w:lvl w:ilvl="1">
      <w:start w:val="1"/>
      <w:numFmt w:val="bullet"/>
      <w:lvlText w:val="o"/>
      <w:lvlJc w:val="left"/>
      <w:pPr>
        <w:ind w:left="1428" w:hanging="360"/>
      </w:pPr>
      <w:rPr>
        <w:rFonts w:ascii="Courier New" w:cs="Courier New" w:eastAsia="Courier New" w:hAnsi="Courier New"/>
      </w:rPr>
    </w:lvl>
    <w:lvl w:ilvl="2">
      <w:start w:val="1"/>
      <w:numFmt w:val="bullet"/>
      <w:lvlText w:val="▪"/>
      <w:lvlJc w:val="left"/>
      <w:pPr>
        <w:ind w:left="2148" w:hanging="360"/>
      </w:pPr>
      <w:rPr>
        <w:rFonts w:ascii="Noto Sans Symbols" w:cs="Noto Sans Symbols" w:eastAsia="Noto Sans Symbols" w:hAnsi="Noto Sans Symbols"/>
      </w:rPr>
    </w:lvl>
    <w:lvl w:ilvl="3">
      <w:start w:val="1"/>
      <w:numFmt w:val="bullet"/>
      <w:lvlText w:val="●"/>
      <w:lvlJc w:val="left"/>
      <w:pPr>
        <w:ind w:left="2868" w:hanging="360"/>
      </w:pPr>
      <w:rPr>
        <w:rFonts w:ascii="Noto Sans Symbols" w:cs="Noto Sans Symbols" w:eastAsia="Noto Sans Symbols" w:hAnsi="Noto Sans Symbols"/>
      </w:rPr>
    </w:lvl>
    <w:lvl w:ilvl="4">
      <w:start w:val="1"/>
      <w:numFmt w:val="bullet"/>
      <w:lvlText w:val="o"/>
      <w:lvlJc w:val="left"/>
      <w:pPr>
        <w:ind w:left="3588" w:hanging="360"/>
      </w:pPr>
      <w:rPr>
        <w:rFonts w:ascii="Courier New" w:cs="Courier New" w:eastAsia="Courier New" w:hAnsi="Courier New"/>
      </w:rPr>
    </w:lvl>
    <w:lvl w:ilvl="5">
      <w:start w:val="1"/>
      <w:numFmt w:val="bullet"/>
      <w:lvlText w:val="▪"/>
      <w:lvlJc w:val="left"/>
      <w:pPr>
        <w:ind w:left="4308" w:hanging="360"/>
      </w:pPr>
      <w:rPr>
        <w:rFonts w:ascii="Noto Sans Symbols" w:cs="Noto Sans Symbols" w:eastAsia="Noto Sans Symbols" w:hAnsi="Noto Sans Symbols"/>
      </w:rPr>
    </w:lvl>
    <w:lvl w:ilvl="6">
      <w:start w:val="1"/>
      <w:numFmt w:val="bullet"/>
      <w:lvlText w:val="●"/>
      <w:lvlJc w:val="left"/>
      <w:pPr>
        <w:ind w:left="5028" w:hanging="360"/>
      </w:pPr>
      <w:rPr>
        <w:rFonts w:ascii="Noto Sans Symbols" w:cs="Noto Sans Symbols" w:eastAsia="Noto Sans Symbols" w:hAnsi="Noto Sans Symbols"/>
      </w:rPr>
    </w:lvl>
    <w:lvl w:ilvl="7">
      <w:start w:val="1"/>
      <w:numFmt w:val="bullet"/>
      <w:lvlText w:val="o"/>
      <w:lvlJc w:val="left"/>
      <w:pPr>
        <w:ind w:left="5748" w:hanging="360"/>
      </w:pPr>
      <w:rPr>
        <w:rFonts w:ascii="Courier New" w:cs="Courier New" w:eastAsia="Courier New" w:hAnsi="Courier New"/>
      </w:rPr>
    </w:lvl>
    <w:lvl w:ilvl="8">
      <w:start w:val="1"/>
      <w:numFmt w:val="bullet"/>
      <w:lvlText w:val="▪"/>
      <w:lvlJc w:val="left"/>
      <w:pPr>
        <w:ind w:left="6468"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ecentrale.regelgeving.overheid.nl/cvdr/xhtmloutput/historie/Veere/371618/371618_1.html" TargetMode="Externa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