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EF565" w14:textId="77777777" w:rsidR="00F662D0" w:rsidRDefault="001450CF" w:rsidP="001450CF">
      <w:pPr>
        <w:pStyle w:val="Heading"/>
      </w:pPr>
      <w:bookmarkStart w:id="0" w:name="_GoBack"/>
      <w:bookmarkEnd w:id="0"/>
      <w:r>
        <w:t>MOTIE “Op de bres voor sociaal domein”</w:t>
      </w:r>
      <w:r>
        <w:rPr>
          <w:noProof/>
          <w:lang w:eastAsia="nl-NL"/>
        </w:rPr>
        <w:drawing>
          <wp:anchor distT="0" distB="0" distL="0" distR="0" simplePos="0" relativeHeight="251659264" behindDoc="0" locked="0" layoutInCell="1" allowOverlap="1" wp14:anchorId="4B47744B" wp14:editId="0F4549D9">
            <wp:simplePos x="0" y="0"/>
            <wp:positionH relativeFrom="margin">
              <wp:posOffset>-433070</wp:posOffset>
            </wp:positionH>
            <wp:positionV relativeFrom="page">
              <wp:posOffset>292735</wp:posOffset>
            </wp:positionV>
            <wp:extent cx="854075" cy="854075"/>
            <wp:effectExtent l="0" t="0" r="9525" b="9525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vdahilversum-logo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854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C592936" w14:textId="15BC458E" w:rsidR="00F662D0" w:rsidRDefault="001450CF" w:rsidP="001450CF">
      <w:pPr>
        <w:pStyle w:val="Body2"/>
        <w:jc w:val="right"/>
      </w:pPr>
      <w:r>
        <w:t>Nummer:</w:t>
      </w:r>
      <w:r w:rsidR="00F3285C">
        <w:t xml:space="preserve"> M18/40</w:t>
      </w:r>
    </w:p>
    <w:p w14:paraId="638EF0D4" w14:textId="77777777" w:rsidR="00F662D0" w:rsidRDefault="001450CF">
      <w:pPr>
        <w:pStyle w:val="Body"/>
      </w:pPr>
      <w:r>
        <w:t>De gemeenteraad van Hilversum, bijeen op 6 juni 2018, ter behandeling van het coalitieakkoord 2018-2022 ‘Aan de slag; voor een buurtgericht, duurzaam, veilig en levendig Hilversum’,</w:t>
      </w:r>
    </w:p>
    <w:p w14:paraId="676E96A6" w14:textId="77777777" w:rsidR="007B6BB0" w:rsidRPr="00C715FE" w:rsidRDefault="007B6BB0">
      <w:pPr>
        <w:pStyle w:val="Body"/>
        <w:rPr>
          <w:sz w:val="16"/>
          <w:szCs w:val="16"/>
        </w:rPr>
      </w:pPr>
    </w:p>
    <w:p w14:paraId="7DB9EAA6" w14:textId="18AD7FD4" w:rsidR="00F662D0" w:rsidRDefault="001450CF">
      <w:pPr>
        <w:pStyle w:val="Body3"/>
      </w:pPr>
      <w:r>
        <w:t>Constateert</w:t>
      </w:r>
      <w:r w:rsidR="00BD2E9E">
        <w:t xml:space="preserve"> dat</w:t>
      </w:r>
      <w:r>
        <w:t>:</w:t>
      </w:r>
    </w:p>
    <w:p w14:paraId="606BE940" w14:textId="4F02274B" w:rsidR="00F662D0" w:rsidRDefault="001450CF">
      <w:pPr>
        <w:pStyle w:val="Body"/>
        <w:numPr>
          <w:ilvl w:val="0"/>
          <w:numId w:val="2"/>
        </w:numPr>
      </w:pPr>
      <w:r>
        <w:t xml:space="preserve">met het afsluiten van </w:t>
      </w:r>
      <w:r w:rsidR="00292429">
        <w:t>het InterBestuurlijk Programma</w:t>
      </w:r>
      <w:r>
        <w:t xml:space="preserve"> (IBP) er geen bindende afspraken zijn  gemaakt over het sociale domein;</w:t>
      </w:r>
    </w:p>
    <w:p w14:paraId="26E01B56" w14:textId="3D37C8DD" w:rsidR="00F662D0" w:rsidRDefault="001450CF">
      <w:pPr>
        <w:pStyle w:val="Body"/>
        <w:numPr>
          <w:ilvl w:val="0"/>
          <w:numId w:val="2"/>
        </w:numPr>
      </w:pPr>
      <w:r>
        <w:t>de huidige regering heeft aangegeven bij brief van 20 febru</w:t>
      </w:r>
      <w:r w:rsidR="00292429">
        <w:t>ari 2018 dat zij van mening is</w:t>
      </w:r>
      <w:r>
        <w:t xml:space="preserve"> d</w:t>
      </w:r>
      <w:r w:rsidR="00022D6C">
        <w:t>at met het afsluiten van het IBP</w:t>
      </w:r>
      <w:r>
        <w:t xml:space="preserve"> de problemen in het sociale domein zijn opgelost;</w:t>
      </w:r>
    </w:p>
    <w:p w14:paraId="7E8578F9" w14:textId="77777777" w:rsidR="00F662D0" w:rsidRDefault="001450CF">
      <w:pPr>
        <w:pStyle w:val="Body"/>
        <w:numPr>
          <w:ilvl w:val="0"/>
          <w:numId w:val="2"/>
        </w:numPr>
      </w:pPr>
      <w:r>
        <w:t>de gemeente Hilversum tekorten heeft op de jeugdwet, WMO en de BUIG-gelden;</w:t>
      </w:r>
    </w:p>
    <w:p w14:paraId="617ED447" w14:textId="075688D2" w:rsidR="00F662D0" w:rsidRDefault="00292429">
      <w:pPr>
        <w:pStyle w:val="Body"/>
        <w:numPr>
          <w:ilvl w:val="0"/>
          <w:numId w:val="2"/>
        </w:numPr>
      </w:pPr>
      <w:r>
        <w:t>de gemeente Hilversum slechts éé</w:t>
      </w:r>
      <w:r w:rsidR="001450CF">
        <w:t>n van de gemeenten met tekorten is;</w:t>
      </w:r>
    </w:p>
    <w:p w14:paraId="59A29051" w14:textId="77777777" w:rsidR="00F662D0" w:rsidRDefault="001450CF">
      <w:pPr>
        <w:pStyle w:val="Body"/>
        <w:numPr>
          <w:ilvl w:val="0"/>
          <w:numId w:val="2"/>
        </w:numPr>
      </w:pPr>
      <w:r>
        <w:t>de kosten voor de jeugdhulp stijgen door toename van beschermingsmaatregelen (ondertoezichtstelling of voogdij) waar gemeenten geen regie op kunnen voeren;</w:t>
      </w:r>
    </w:p>
    <w:p w14:paraId="4C875C2D" w14:textId="77777777" w:rsidR="00F662D0" w:rsidRDefault="001450CF">
      <w:pPr>
        <w:pStyle w:val="Body"/>
        <w:numPr>
          <w:ilvl w:val="0"/>
          <w:numId w:val="2"/>
        </w:numPr>
      </w:pPr>
      <w:r>
        <w:t>de kosten voor de WMO zullen stijgen ten gevolge van het langer zelfstandig wonen en ouder worden (vergrijzing) van de Hilversumse bevolking;</w:t>
      </w:r>
    </w:p>
    <w:p w14:paraId="7FE801A3" w14:textId="5185276C" w:rsidR="00F662D0" w:rsidRDefault="001450CF">
      <w:pPr>
        <w:pStyle w:val="Body"/>
        <w:numPr>
          <w:ilvl w:val="0"/>
          <w:numId w:val="2"/>
        </w:numPr>
      </w:pPr>
      <w:r>
        <w:t>daardoor ook de andere afsp</w:t>
      </w:r>
      <w:r w:rsidR="006C10C5">
        <w:t>raken in het IBP</w:t>
      </w:r>
      <w:r>
        <w:t xml:space="preserve"> door de tekorten in het sociale domein o</w:t>
      </w:r>
      <w:r w:rsidR="00BD2E9E">
        <w:t>p gespannen voet komen te staan.</w:t>
      </w:r>
    </w:p>
    <w:p w14:paraId="5E92A0FB" w14:textId="77777777" w:rsidR="00C715FE" w:rsidRPr="00C715FE" w:rsidRDefault="00C715FE" w:rsidP="00C715FE">
      <w:pPr>
        <w:pStyle w:val="Body"/>
        <w:ind w:left="260"/>
        <w:rPr>
          <w:sz w:val="16"/>
          <w:szCs w:val="16"/>
        </w:rPr>
      </w:pPr>
    </w:p>
    <w:p w14:paraId="0293BB83" w14:textId="13464DAC" w:rsidR="00F662D0" w:rsidRDefault="001450CF">
      <w:pPr>
        <w:pStyle w:val="Body3"/>
      </w:pPr>
      <w:r>
        <w:t>Overweegt</w:t>
      </w:r>
      <w:r w:rsidR="00AA655E">
        <w:t xml:space="preserve"> dat</w:t>
      </w:r>
      <w:r>
        <w:t>:</w:t>
      </w:r>
    </w:p>
    <w:p w14:paraId="788D3647" w14:textId="6CA13F74" w:rsidR="00F662D0" w:rsidRDefault="001450CF">
      <w:pPr>
        <w:pStyle w:val="Body"/>
        <w:numPr>
          <w:ilvl w:val="0"/>
          <w:numId w:val="2"/>
        </w:numPr>
      </w:pPr>
      <w:r>
        <w:t xml:space="preserve">Hilversum op termijn de tekorten Sociaal Domein niet meer </w:t>
      </w:r>
      <w:r w:rsidR="00AA655E">
        <w:t xml:space="preserve">zal </w:t>
      </w:r>
      <w:r>
        <w:t>kunnen opvangen binnen de begroting sociaal domein;</w:t>
      </w:r>
    </w:p>
    <w:p w14:paraId="5C6829A5" w14:textId="032367FC" w:rsidR="00F662D0" w:rsidRDefault="001450CF">
      <w:pPr>
        <w:pStyle w:val="Body"/>
        <w:numPr>
          <w:ilvl w:val="0"/>
          <w:numId w:val="2"/>
        </w:numPr>
      </w:pPr>
      <w:r>
        <w:t xml:space="preserve">dit de beoogde transformaties  - in lijn met de bedoeling achter de decentralisaties – on hold </w:t>
      </w:r>
      <w:r w:rsidR="00AA655E">
        <w:t xml:space="preserve">zal </w:t>
      </w:r>
      <w:r>
        <w:t xml:space="preserve">zetten en belemmeren; </w:t>
      </w:r>
    </w:p>
    <w:p w14:paraId="2312866B" w14:textId="12E13F50" w:rsidR="00F662D0" w:rsidRDefault="001450CF">
      <w:pPr>
        <w:pStyle w:val="Body"/>
        <w:numPr>
          <w:ilvl w:val="0"/>
          <w:numId w:val="2"/>
        </w:numPr>
      </w:pPr>
      <w:r>
        <w:t xml:space="preserve">hierdoor </w:t>
      </w:r>
      <w:r>
        <w:rPr>
          <w:lang w:val="pt-PT"/>
        </w:rPr>
        <w:t>de continu</w:t>
      </w:r>
      <w:r w:rsidR="00AA655E">
        <w:t>ïteit van zorg op het spel staat;</w:t>
      </w:r>
    </w:p>
    <w:p w14:paraId="18BB8ACB" w14:textId="3FBBC298" w:rsidR="00F662D0" w:rsidRDefault="001450CF">
      <w:pPr>
        <w:pStyle w:val="Body"/>
        <w:numPr>
          <w:ilvl w:val="0"/>
          <w:numId w:val="2"/>
        </w:numPr>
      </w:pPr>
      <w:r>
        <w:t xml:space="preserve">Hilversum op dit moment niet </w:t>
      </w:r>
      <w:r w:rsidR="00AA655E">
        <w:t xml:space="preserve">is </w:t>
      </w:r>
      <w:r>
        <w:t xml:space="preserve">gebaat bij het InterBestuurlijk Programma als de knelpunten binnen de budgetten sociaal domein niet structureel worden opgelost. </w:t>
      </w:r>
    </w:p>
    <w:p w14:paraId="0A356662" w14:textId="77777777" w:rsidR="007140FE" w:rsidRPr="00C715FE" w:rsidRDefault="007140FE" w:rsidP="007140FE">
      <w:pPr>
        <w:pStyle w:val="Body"/>
        <w:ind w:left="260"/>
        <w:rPr>
          <w:sz w:val="16"/>
          <w:szCs w:val="16"/>
        </w:rPr>
      </w:pPr>
    </w:p>
    <w:p w14:paraId="6DC85201" w14:textId="7FB45DE6" w:rsidR="00F662D0" w:rsidRDefault="001450CF">
      <w:pPr>
        <w:pStyle w:val="Body3"/>
      </w:pPr>
      <w:r>
        <w:t>Spreekt als mening uit</w:t>
      </w:r>
      <w:r w:rsidR="00292429">
        <w:t xml:space="preserve"> dat</w:t>
      </w:r>
      <w:r>
        <w:t>:</w:t>
      </w:r>
    </w:p>
    <w:p w14:paraId="38FEDC69" w14:textId="350F5567" w:rsidR="00F662D0" w:rsidRDefault="00B06C40">
      <w:pPr>
        <w:pStyle w:val="Body"/>
        <w:numPr>
          <w:ilvl w:val="0"/>
          <w:numId w:val="2"/>
        </w:numPr>
      </w:pPr>
      <w:r>
        <w:t>met het IBP</w:t>
      </w:r>
      <w:r w:rsidR="001450CF">
        <w:t xml:space="preserve"> zijn de financiële problemen in het sociale domein en specifiek in de jeugdhulp niet </w:t>
      </w:r>
      <w:r w:rsidR="00292429">
        <w:t xml:space="preserve">zijn </w:t>
      </w:r>
      <w:r w:rsidR="001450CF">
        <w:t xml:space="preserve">opgelost; </w:t>
      </w:r>
    </w:p>
    <w:p w14:paraId="245A7F4A" w14:textId="0E0D6C6E" w:rsidR="00F662D0" w:rsidRDefault="001450CF">
      <w:pPr>
        <w:pStyle w:val="Body"/>
        <w:numPr>
          <w:ilvl w:val="0"/>
          <w:numId w:val="2"/>
        </w:numPr>
      </w:pPr>
      <w:r>
        <w:t xml:space="preserve">het college aan de ALV van de VNG </w:t>
      </w:r>
      <w:r w:rsidR="00292429">
        <w:t xml:space="preserve">(op 27 juni 2018 aanstaande in Maastricht) </w:t>
      </w:r>
      <w:r>
        <w:t>kenbaar zou moeten maken niet in te  kunnen stemmen met het IBP zolang de knelpunten in het sociaal domein niet worden opgelost;</w:t>
      </w:r>
    </w:p>
    <w:p w14:paraId="3ED1F6E0" w14:textId="3989C67A" w:rsidR="00F662D0" w:rsidRDefault="001450CF">
      <w:pPr>
        <w:pStyle w:val="Body"/>
        <w:numPr>
          <w:ilvl w:val="0"/>
          <w:numId w:val="2"/>
        </w:numPr>
      </w:pPr>
      <w:r>
        <w:t>dat slechts onder het voorbehoud van aanpassing van de macrobudgetten de gemeente Hilver</w:t>
      </w:r>
      <w:r w:rsidR="00B06C40">
        <w:t>sum akkoord kan gaan met het IBP</w:t>
      </w:r>
      <w:r w:rsidR="006E4512">
        <w:t>.</w:t>
      </w:r>
    </w:p>
    <w:p w14:paraId="12FD826E" w14:textId="340565E5" w:rsidR="00292429" w:rsidRDefault="00292429">
      <w:pPr>
        <w:rPr>
          <w:rFonts w:cs="Arial Unicode MS"/>
          <w:color w:val="000000"/>
          <w:sz w:val="16"/>
          <w:szCs w:val="16"/>
          <w:lang w:val="nl-NL"/>
        </w:rPr>
      </w:pPr>
      <w:r>
        <w:rPr>
          <w:sz w:val="16"/>
          <w:szCs w:val="16"/>
        </w:rPr>
        <w:br w:type="page"/>
      </w:r>
    </w:p>
    <w:p w14:paraId="4E22C2EE" w14:textId="77777777" w:rsidR="00C715FE" w:rsidRPr="00C715FE" w:rsidRDefault="00C715FE" w:rsidP="00C715FE">
      <w:pPr>
        <w:pStyle w:val="Body"/>
        <w:ind w:left="260"/>
        <w:rPr>
          <w:sz w:val="16"/>
          <w:szCs w:val="16"/>
        </w:rPr>
      </w:pPr>
    </w:p>
    <w:p w14:paraId="17F8C3AC" w14:textId="77777777" w:rsidR="00F662D0" w:rsidRDefault="001450CF">
      <w:pPr>
        <w:pStyle w:val="Heading"/>
        <w:jc w:val="center"/>
      </w:pPr>
      <w:r>
        <w:t>verzoekt het college:</w:t>
      </w:r>
    </w:p>
    <w:p w14:paraId="269CFBE7" w14:textId="77777777" w:rsidR="00292429" w:rsidRDefault="00292429" w:rsidP="001450CF">
      <w:pPr>
        <w:pStyle w:val="Body"/>
      </w:pPr>
    </w:p>
    <w:p w14:paraId="7F769BDA" w14:textId="77777777" w:rsidR="00292429" w:rsidRDefault="001450CF" w:rsidP="00292429">
      <w:pPr>
        <w:pStyle w:val="Body"/>
        <w:numPr>
          <w:ilvl w:val="0"/>
          <w:numId w:val="3"/>
        </w:numPr>
      </w:pPr>
      <w:r>
        <w:t>Een motie met een vergelijkbare strekking als onderhavige motie voor te bereiden en in te dienen bij de ALV van de VNG</w:t>
      </w:r>
      <w:r w:rsidR="00292429">
        <w:t xml:space="preserve"> op 27 juni aanstaande in Maastricht</w:t>
      </w:r>
      <w:r>
        <w:t>;</w:t>
      </w:r>
    </w:p>
    <w:p w14:paraId="3D775E39" w14:textId="23052542" w:rsidR="001450CF" w:rsidRDefault="00292429" w:rsidP="00292429">
      <w:pPr>
        <w:pStyle w:val="Body"/>
        <w:numPr>
          <w:ilvl w:val="0"/>
          <w:numId w:val="3"/>
        </w:numPr>
      </w:pPr>
      <w:r>
        <w:t xml:space="preserve">Voorafgaand aan het VNG-congres het nodige lobbywerk te verrichten in de kringen van de VNG en in het bijzonder in het G-40 netwerk teneinde </w:t>
      </w:r>
      <w:r w:rsidR="005C36E9">
        <w:t xml:space="preserve">draagvlak voor deze motie te creëren. </w:t>
      </w:r>
      <w:r w:rsidR="001450CF">
        <w:br/>
      </w:r>
    </w:p>
    <w:p w14:paraId="27668826" w14:textId="77777777" w:rsidR="001450CF" w:rsidRDefault="001450CF">
      <w:pPr>
        <w:pStyle w:val="Body2"/>
      </w:pPr>
      <w:r>
        <w:t>En gaat over tot de orde van de dag.</w:t>
      </w:r>
    </w:p>
    <w:p w14:paraId="2381F2AC" w14:textId="500FC6AF" w:rsidR="00F662D0" w:rsidRDefault="001450CF">
      <w:pPr>
        <w:pStyle w:val="Body2"/>
      </w:pPr>
      <w:r>
        <w:rPr>
          <w:rFonts w:ascii="Arial Unicode MS" w:hAnsi="Arial Unicode MS"/>
          <w:b w:val="0"/>
          <w:bCs w:val="0"/>
        </w:rPr>
        <w:br/>
      </w:r>
      <w:r>
        <w:t>J. Kalk</w:t>
      </w:r>
      <w:r>
        <w:br/>
        <w:t>Part</w:t>
      </w:r>
      <w:r w:rsidR="00BD2E9E">
        <w:t>ij</w:t>
      </w:r>
      <w:r>
        <w:t xml:space="preserve"> van de Arbeid</w:t>
      </w:r>
    </w:p>
    <w:sectPr w:rsidR="00F662D0">
      <w:headerReference w:type="default" r:id="rId9"/>
      <w:footerReference w:type="default" r:id="rId10"/>
      <w:pgSz w:w="11900" w:h="16840"/>
      <w:pgMar w:top="1134" w:right="1417" w:bottom="36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1FDF1" w14:textId="77777777" w:rsidR="006C6881" w:rsidRDefault="006C6881">
      <w:r>
        <w:separator/>
      </w:r>
    </w:p>
  </w:endnote>
  <w:endnote w:type="continuationSeparator" w:id="0">
    <w:p w14:paraId="65E38C73" w14:textId="77777777" w:rsidR="006C6881" w:rsidRDefault="006C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Avenir Next Regular"/>
    <w:charset w:val="00"/>
    <w:family w:val="roman"/>
    <w:pitch w:val="default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09ECE" w14:textId="77777777" w:rsidR="00292429" w:rsidRDefault="002924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DE864" w14:textId="77777777" w:rsidR="006C6881" w:rsidRDefault="006C6881">
      <w:r>
        <w:separator/>
      </w:r>
    </w:p>
  </w:footnote>
  <w:footnote w:type="continuationSeparator" w:id="0">
    <w:p w14:paraId="6D54F14F" w14:textId="77777777" w:rsidR="006C6881" w:rsidRDefault="006C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C720" w14:textId="77777777" w:rsidR="00292429" w:rsidRDefault="002924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1CE"/>
    <w:multiLevelType w:val="hybridMultilevel"/>
    <w:tmpl w:val="497687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E18C9"/>
    <w:multiLevelType w:val="hybridMultilevel"/>
    <w:tmpl w:val="FA7890EA"/>
    <w:styleLink w:val="Bullet"/>
    <w:lvl w:ilvl="0" w:tplc="FA2C200C">
      <w:start w:val="1"/>
      <w:numFmt w:val="bullet"/>
      <w:lvlText w:val="•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color w:val="594A3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88FF6A">
      <w:start w:val="1"/>
      <w:numFmt w:val="bullet"/>
      <w:lvlText w:val="•"/>
      <w:lvlJc w:val="left"/>
      <w:pPr>
        <w:ind w:left="336" w:hanging="176"/>
      </w:pPr>
      <w:rPr>
        <w:rFonts w:hAnsi="Arial Unicode MS"/>
        <w:caps w:val="0"/>
        <w:smallCaps w:val="0"/>
        <w:strike w:val="0"/>
        <w:dstrike w:val="0"/>
        <w:color w:val="594A3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8EE18">
      <w:start w:val="1"/>
      <w:numFmt w:val="bullet"/>
      <w:lvlText w:val="•"/>
      <w:lvlJc w:val="left"/>
      <w:pPr>
        <w:ind w:left="496" w:hanging="176"/>
      </w:pPr>
      <w:rPr>
        <w:rFonts w:hAnsi="Arial Unicode MS"/>
        <w:caps w:val="0"/>
        <w:smallCaps w:val="0"/>
        <w:strike w:val="0"/>
        <w:dstrike w:val="0"/>
        <w:color w:val="594A3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FCFCBC">
      <w:start w:val="1"/>
      <w:numFmt w:val="bullet"/>
      <w:lvlText w:val="•"/>
      <w:lvlJc w:val="left"/>
      <w:pPr>
        <w:ind w:left="656" w:hanging="176"/>
      </w:pPr>
      <w:rPr>
        <w:rFonts w:hAnsi="Arial Unicode MS"/>
        <w:caps w:val="0"/>
        <w:smallCaps w:val="0"/>
        <w:strike w:val="0"/>
        <w:dstrike w:val="0"/>
        <w:color w:val="594A3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5272C0">
      <w:start w:val="1"/>
      <w:numFmt w:val="bullet"/>
      <w:lvlText w:val="•"/>
      <w:lvlJc w:val="left"/>
      <w:pPr>
        <w:ind w:left="816" w:hanging="176"/>
      </w:pPr>
      <w:rPr>
        <w:rFonts w:hAnsi="Arial Unicode MS"/>
        <w:caps w:val="0"/>
        <w:smallCaps w:val="0"/>
        <w:strike w:val="0"/>
        <w:dstrike w:val="0"/>
        <w:color w:val="594A3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5CCE78">
      <w:start w:val="1"/>
      <w:numFmt w:val="bullet"/>
      <w:lvlText w:val="•"/>
      <w:lvlJc w:val="left"/>
      <w:pPr>
        <w:ind w:left="976" w:hanging="176"/>
      </w:pPr>
      <w:rPr>
        <w:rFonts w:hAnsi="Arial Unicode MS"/>
        <w:caps w:val="0"/>
        <w:smallCaps w:val="0"/>
        <w:strike w:val="0"/>
        <w:dstrike w:val="0"/>
        <w:color w:val="594A3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2FD46">
      <w:start w:val="1"/>
      <w:numFmt w:val="bullet"/>
      <w:lvlText w:val="•"/>
      <w:lvlJc w:val="left"/>
      <w:pPr>
        <w:ind w:left="1136" w:hanging="176"/>
      </w:pPr>
      <w:rPr>
        <w:rFonts w:hAnsi="Arial Unicode MS"/>
        <w:caps w:val="0"/>
        <w:smallCaps w:val="0"/>
        <w:strike w:val="0"/>
        <w:dstrike w:val="0"/>
        <w:color w:val="594A3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9C6C22">
      <w:start w:val="1"/>
      <w:numFmt w:val="bullet"/>
      <w:lvlText w:val="•"/>
      <w:lvlJc w:val="left"/>
      <w:pPr>
        <w:ind w:left="1296" w:hanging="176"/>
      </w:pPr>
      <w:rPr>
        <w:rFonts w:hAnsi="Arial Unicode MS"/>
        <w:caps w:val="0"/>
        <w:smallCaps w:val="0"/>
        <w:strike w:val="0"/>
        <w:dstrike w:val="0"/>
        <w:color w:val="594A3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65778">
      <w:start w:val="1"/>
      <w:numFmt w:val="bullet"/>
      <w:lvlText w:val="•"/>
      <w:lvlJc w:val="left"/>
      <w:pPr>
        <w:ind w:left="1456" w:hanging="176"/>
      </w:pPr>
      <w:rPr>
        <w:rFonts w:hAnsi="Arial Unicode MS"/>
        <w:caps w:val="0"/>
        <w:smallCaps w:val="0"/>
        <w:strike w:val="0"/>
        <w:dstrike w:val="0"/>
        <w:color w:val="594A3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321428D"/>
    <w:multiLevelType w:val="hybridMultilevel"/>
    <w:tmpl w:val="FA7890EA"/>
    <w:numStyleLink w:val="Bullet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D0"/>
    <w:rsid w:val="00005F61"/>
    <w:rsid w:val="00022D6C"/>
    <w:rsid w:val="000B3847"/>
    <w:rsid w:val="001450CF"/>
    <w:rsid w:val="00204463"/>
    <w:rsid w:val="00292429"/>
    <w:rsid w:val="00456839"/>
    <w:rsid w:val="005C36E9"/>
    <w:rsid w:val="006C10C5"/>
    <w:rsid w:val="006C6881"/>
    <w:rsid w:val="006E4512"/>
    <w:rsid w:val="007140FE"/>
    <w:rsid w:val="007B6BB0"/>
    <w:rsid w:val="00AA655E"/>
    <w:rsid w:val="00B06C40"/>
    <w:rsid w:val="00BD2E9E"/>
    <w:rsid w:val="00C715FE"/>
    <w:rsid w:val="00D55970"/>
    <w:rsid w:val="00F3285C"/>
    <w:rsid w:val="00F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2B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2"/>
    <w:pPr>
      <w:spacing w:before="120" w:after="120"/>
      <w:jc w:val="right"/>
      <w:outlineLvl w:val="0"/>
    </w:pPr>
    <w:rPr>
      <w:rFonts w:cs="Arial Unicode MS"/>
      <w:b/>
      <w:bCs/>
      <w:caps/>
      <w:color w:val="000000"/>
      <w:spacing w:val="14"/>
      <w:sz w:val="28"/>
      <w:szCs w:val="28"/>
      <w:lang w:val="nl-NL"/>
    </w:rPr>
  </w:style>
  <w:style w:type="paragraph" w:customStyle="1" w:styleId="Body2">
    <w:name w:val="Body 2"/>
    <w:pPr>
      <w:spacing w:after="180" w:line="336" w:lineRule="auto"/>
    </w:pPr>
    <w:rPr>
      <w:rFonts w:cs="Arial Unicode MS"/>
      <w:b/>
      <w:bCs/>
      <w:color w:val="000000"/>
      <w:lang w:val="nl-NL"/>
    </w:rPr>
  </w:style>
  <w:style w:type="paragraph" w:customStyle="1" w:styleId="Body">
    <w:name w:val="Body"/>
    <w:pPr>
      <w:suppressAutoHyphens/>
      <w:spacing w:after="80" w:line="264" w:lineRule="auto"/>
    </w:pPr>
    <w:rPr>
      <w:rFonts w:cs="Arial Unicode MS"/>
      <w:color w:val="000000"/>
      <w:sz w:val="22"/>
      <w:szCs w:val="22"/>
      <w:lang w:val="nl-NL"/>
    </w:rPr>
  </w:style>
  <w:style w:type="paragraph" w:customStyle="1" w:styleId="Body3">
    <w:name w:val="Body 3"/>
    <w:pPr>
      <w:tabs>
        <w:tab w:val="left" w:pos="5760"/>
      </w:tabs>
      <w:spacing w:after="180" w:line="264" w:lineRule="auto"/>
    </w:pPr>
    <w:rPr>
      <w:rFonts w:cs="Arial Unicode MS"/>
      <w:b/>
      <w:bCs/>
      <w:color w:val="000000"/>
      <w:sz w:val="22"/>
      <w:szCs w:val="22"/>
      <w:lang w:val="nl-NL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TableStyle2">
    <w:name w:val="Table Style 2"/>
    <w:rPr>
      <w:rFonts w:ascii="Avenir Next" w:eastAsia="Avenir Next" w:hAnsi="Avenir Next" w:cs="Avenir Next"/>
      <w:color w:val="594A3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2"/>
    <w:pPr>
      <w:spacing w:before="120" w:after="120"/>
      <w:jc w:val="right"/>
      <w:outlineLvl w:val="0"/>
    </w:pPr>
    <w:rPr>
      <w:rFonts w:cs="Arial Unicode MS"/>
      <w:b/>
      <w:bCs/>
      <w:caps/>
      <w:color w:val="000000"/>
      <w:spacing w:val="14"/>
      <w:sz w:val="28"/>
      <w:szCs w:val="28"/>
      <w:lang w:val="nl-NL"/>
    </w:rPr>
  </w:style>
  <w:style w:type="paragraph" w:customStyle="1" w:styleId="Body2">
    <w:name w:val="Body 2"/>
    <w:pPr>
      <w:spacing w:after="180" w:line="336" w:lineRule="auto"/>
    </w:pPr>
    <w:rPr>
      <w:rFonts w:cs="Arial Unicode MS"/>
      <w:b/>
      <w:bCs/>
      <w:color w:val="000000"/>
      <w:lang w:val="nl-NL"/>
    </w:rPr>
  </w:style>
  <w:style w:type="paragraph" w:customStyle="1" w:styleId="Body">
    <w:name w:val="Body"/>
    <w:pPr>
      <w:suppressAutoHyphens/>
      <w:spacing w:after="80" w:line="264" w:lineRule="auto"/>
    </w:pPr>
    <w:rPr>
      <w:rFonts w:cs="Arial Unicode MS"/>
      <w:color w:val="000000"/>
      <w:sz w:val="22"/>
      <w:szCs w:val="22"/>
      <w:lang w:val="nl-NL"/>
    </w:rPr>
  </w:style>
  <w:style w:type="paragraph" w:customStyle="1" w:styleId="Body3">
    <w:name w:val="Body 3"/>
    <w:pPr>
      <w:tabs>
        <w:tab w:val="left" w:pos="5760"/>
      </w:tabs>
      <w:spacing w:after="180" w:line="264" w:lineRule="auto"/>
    </w:pPr>
    <w:rPr>
      <w:rFonts w:cs="Arial Unicode MS"/>
      <w:b/>
      <w:bCs/>
      <w:color w:val="000000"/>
      <w:sz w:val="22"/>
      <w:szCs w:val="22"/>
      <w:lang w:val="nl-NL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TableStyle2">
    <w:name w:val="Table Style 2"/>
    <w:rPr>
      <w:rFonts w:ascii="Avenir Next" w:eastAsia="Avenir Next" w:hAnsi="Avenir Next" w:cs="Avenir Next"/>
      <w:color w:val="594A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5_NewClassic-Letter">
  <a:themeElements>
    <a:clrScheme name="05_NewClassic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Cooking Fox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Drenth, Miep</dc:creator>
  <cp:lastModifiedBy>Jacqueline</cp:lastModifiedBy>
  <cp:revision>2</cp:revision>
  <dcterms:created xsi:type="dcterms:W3CDTF">2018-06-08T16:00:00Z</dcterms:created>
  <dcterms:modified xsi:type="dcterms:W3CDTF">2018-06-08T16:00:00Z</dcterms:modified>
</cp:coreProperties>
</file>