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211" w:type="dxa"/>
        <w:tblCellMar>
          <w:left w:w="0" w:type="dxa"/>
          <w:right w:w="0" w:type="dxa"/>
        </w:tblCellMar>
        <w:tblLook w:val="0000" w:firstRow="0" w:lastRow="0" w:firstColumn="0" w:lastColumn="0" w:noHBand="0" w:noVBand="0"/>
      </w:tblPr>
      <w:tblGrid>
        <w:gridCol w:w="2211"/>
        <w:gridCol w:w="7993"/>
      </w:tblGrid>
      <w:tr w:rsidR="008942F2" w:rsidRPr="00CE5D7A" w14:paraId="31C33D1C" w14:textId="77777777">
        <w:trPr>
          <w:trHeight w:hRule="exact" w:val="284"/>
        </w:trPr>
        <w:tc>
          <w:tcPr>
            <w:tcW w:w="2211" w:type="dxa"/>
          </w:tcPr>
          <w:p w14:paraId="58C3BC54" w14:textId="77777777" w:rsidR="008942F2" w:rsidRPr="00CE5D7A" w:rsidRDefault="008942F2">
            <w:pPr>
              <w:pStyle w:val="ReferentiegegevensRegular"/>
              <w:widowControl w:val="0"/>
              <w:rPr>
                <w:rFonts w:ascii="Calibri" w:hAnsi="Calibri" w:cs="Arial"/>
                <w:sz w:val="20"/>
                <w:szCs w:val="20"/>
              </w:rPr>
            </w:pPr>
            <w:r w:rsidRPr="00CE5D7A">
              <w:rPr>
                <w:rFonts w:ascii="Calibri" w:hAnsi="Calibri" w:cs="Arial"/>
                <w:sz w:val="20"/>
                <w:szCs w:val="20"/>
              </w:rPr>
              <w:t>Jaar</w:t>
            </w:r>
          </w:p>
        </w:tc>
        <w:tc>
          <w:tcPr>
            <w:tcW w:w="7993" w:type="dxa"/>
          </w:tcPr>
          <w:p w14:paraId="681CBE73" w14:textId="77777777" w:rsidR="008942F2" w:rsidRPr="00CE5D7A" w:rsidRDefault="00CF07DC">
            <w:pPr>
              <w:pStyle w:val="ReferentiegegevensBold"/>
              <w:widowControl w:val="0"/>
              <w:rPr>
                <w:rFonts w:ascii="Calibri" w:hAnsi="Calibri" w:cs="Arial"/>
                <w:sz w:val="20"/>
                <w:szCs w:val="20"/>
              </w:rPr>
            </w:pPr>
            <w:bookmarkStart w:id="0" w:name="BMK_JAARTAL"/>
            <w:r w:rsidRPr="00CE5D7A">
              <w:rPr>
                <w:rFonts w:ascii="Calibri" w:hAnsi="Calibri" w:cs="Arial"/>
                <w:sz w:val="20"/>
                <w:szCs w:val="20"/>
              </w:rPr>
              <w:t>201</w:t>
            </w:r>
            <w:bookmarkEnd w:id="0"/>
            <w:r w:rsidR="00627533">
              <w:rPr>
                <w:rFonts w:ascii="Calibri" w:hAnsi="Calibri" w:cs="Arial"/>
                <w:sz w:val="20"/>
                <w:szCs w:val="20"/>
              </w:rPr>
              <w:t>5</w:t>
            </w:r>
          </w:p>
        </w:tc>
      </w:tr>
      <w:tr w:rsidR="008942F2" w:rsidRPr="00CE5D7A" w14:paraId="2A0A4053" w14:textId="77777777">
        <w:trPr>
          <w:trHeight w:hRule="exact" w:val="284"/>
        </w:trPr>
        <w:tc>
          <w:tcPr>
            <w:tcW w:w="2211" w:type="dxa"/>
          </w:tcPr>
          <w:p w14:paraId="2A0C3443" w14:textId="77777777" w:rsidR="008942F2" w:rsidRPr="00CE5D7A" w:rsidRDefault="008942F2">
            <w:pPr>
              <w:pStyle w:val="ReferentiegegevensRegular"/>
              <w:widowControl w:val="0"/>
              <w:rPr>
                <w:rFonts w:ascii="Calibri" w:hAnsi="Calibri" w:cs="Arial"/>
                <w:sz w:val="20"/>
                <w:szCs w:val="20"/>
              </w:rPr>
            </w:pPr>
            <w:r w:rsidRPr="00CE5D7A">
              <w:rPr>
                <w:rFonts w:ascii="Calibri" w:hAnsi="Calibri" w:cs="Arial"/>
                <w:sz w:val="20"/>
                <w:szCs w:val="20"/>
              </w:rPr>
              <w:t>Afdeling</w:t>
            </w:r>
          </w:p>
        </w:tc>
        <w:tc>
          <w:tcPr>
            <w:tcW w:w="7993" w:type="dxa"/>
          </w:tcPr>
          <w:p w14:paraId="313DC70E" w14:textId="77777777" w:rsidR="008942F2" w:rsidRPr="00CE5D7A" w:rsidRDefault="002E4320">
            <w:pPr>
              <w:pStyle w:val="ReferentiegegevensBold"/>
              <w:widowControl w:val="0"/>
              <w:rPr>
                <w:rFonts w:ascii="Calibri" w:hAnsi="Calibri" w:cs="Arial"/>
                <w:bCs/>
                <w:sz w:val="20"/>
                <w:szCs w:val="20"/>
              </w:rPr>
            </w:pPr>
            <w:r w:rsidRPr="00CE5D7A">
              <w:rPr>
                <w:rFonts w:ascii="Calibri" w:hAnsi="Calibri" w:cs="Arial"/>
                <w:bCs/>
                <w:sz w:val="20"/>
                <w:szCs w:val="20"/>
              </w:rPr>
              <w:t>*</w:t>
            </w:r>
          </w:p>
        </w:tc>
      </w:tr>
      <w:tr w:rsidR="008942F2" w:rsidRPr="00CE5D7A" w14:paraId="38A29FB8" w14:textId="77777777">
        <w:trPr>
          <w:trHeight w:hRule="exact" w:val="284"/>
        </w:trPr>
        <w:tc>
          <w:tcPr>
            <w:tcW w:w="2211" w:type="dxa"/>
          </w:tcPr>
          <w:p w14:paraId="66527AA1" w14:textId="77777777" w:rsidR="008942F2" w:rsidRPr="00CE5D7A" w:rsidRDefault="008942F2">
            <w:pPr>
              <w:pStyle w:val="ReferentiegegevensRegular"/>
              <w:widowControl w:val="0"/>
              <w:rPr>
                <w:rFonts w:ascii="Calibri" w:hAnsi="Calibri" w:cs="Arial"/>
                <w:sz w:val="20"/>
                <w:szCs w:val="20"/>
              </w:rPr>
            </w:pPr>
            <w:r w:rsidRPr="00CE5D7A">
              <w:rPr>
                <w:rFonts w:ascii="Calibri" w:hAnsi="Calibri" w:cs="Arial"/>
                <w:sz w:val="20"/>
                <w:szCs w:val="20"/>
              </w:rPr>
              <w:t>Nummer</w:t>
            </w:r>
          </w:p>
        </w:tc>
        <w:tc>
          <w:tcPr>
            <w:tcW w:w="7993" w:type="dxa"/>
          </w:tcPr>
          <w:p w14:paraId="05376176" w14:textId="77777777" w:rsidR="008942F2" w:rsidRPr="00CE5D7A" w:rsidRDefault="002E4320">
            <w:pPr>
              <w:pStyle w:val="ReferentiegegevensBold"/>
              <w:widowControl w:val="0"/>
              <w:rPr>
                <w:rFonts w:ascii="Calibri" w:hAnsi="Calibri" w:cs="Arial"/>
                <w:bCs/>
                <w:sz w:val="20"/>
                <w:szCs w:val="20"/>
              </w:rPr>
            </w:pPr>
            <w:r w:rsidRPr="00CE5D7A">
              <w:rPr>
                <w:rFonts w:ascii="Calibri" w:hAnsi="Calibri" w:cs="Arial"/>
                <w:bCs/>
                <w:sz w:val="20"/>
                <w:szCs w:val="20"/>
              </w:rPr>
              <w:t>*</w:t>
            </w:r>
          </w:p>
        </w:tc>
      </w:tr>
      <w:tr w:rsidR="008942F2" w:rsidRPr="00CE5D7A" w14:paraId="03DCA956" w14:textId="77777777">
        <w:trPr>
          <w:trHeight w:hRule="exact" w:val="284"/>
        </w:trPr>
        <w:tc>
          <w:tcPr>
            <w:tcW w:w="2211" w:type="dxa"/>
          </w:tcPr>
          <w:p w14:paraId="51D623FE" w14:textId="77777777" w:rsidR="008942F2" w:rsidRPr="00CE5D7A" w:rsidRDefault="008942F2">
            <w:pPr>
              <w:pStyle w:val="ReferentiegegevensRegular"/>
              <w:widowControl w:val="0"/>
              <w:rPr>
                <w:rFonts w:ascii="Calibri" w:hAnsi="Calibri" w:cs="Arial"/>
                <w:sz w:val="20"/>
                <w:szCs w:val="20"/>
              </w:rPr>
            </w:pPr>
            <w:r w:rsidRPr="00CE5D7A">
              <w:rPr>
                <w:rFonts w:ascii="Calibri" w:hAnsi="Calibri" w:cs="Arial"/>
                <w:sz w:val="20"/>
                <w:szCs w:val="20"/>
              </w:rPr>
              <w:t>Publicatiedatum</w:t>
            </w:r>
          </w:p>
        </w:tc>
        <w:tc>
          <w:tcPr>
            <w:tcW w:w="7993" w:type="dxa"/>
          </w:tcPr>
          <w:p w14:paraId="1F2FB26C" w14:textId="77777777" w:rsidR="008942F2" w:rsidRPr="00CE5D7A" w:rsidRDefault="002E4320">
            <w:pPr>
              <w:pStyle w:val="ReferentiegegevensBold"/>
              <w:widowControl w:val="0"/>
              <w:rPr>
                <w:rFonts w:ascii="Calibri" w:hAnsi="Calibri" w:cs="Arial"/>
                <w:bCs/>
                <w:sz w:val="20"/>
                <w:szCs w:val="20"/>
              </w:rPr>
            </w:pPr>
            <w:r w:rsidRPr="00CE5D7A">
              <w:rPr>
                <w:rFonts w:ascii="Calibri" w:hAnsi="Calibri" w:cs="Arial"/>
                <w:bCs/>
                <w:sz w:val="20"/>
                <w:szCs w:val="20"/>
              </w:rPr>
              <w:t>*</w:t>
            </w:r>
          </w:p>
        </w:tc>
      </w:tr>
      <w:tr w:rsidR="008942F2" w:rsidRPr="00CE5D7A" w14:paraId="254BD89D" w14:textId="77777777">
        <w:trPr>
          <w:trHeight w:hRule="exact" w:val="284"/>
        </w:trPr>
        <w:tc>
          <w:tcPr>
            <w:tcW w:w="2211" w:type="dxa"/>
          </w:tcPr>
          <w:p w14:paraId="43590263" w14:textId="77777777" w:rsidR="008942F2" w:rsidRPr="00CE5D7A" w:rsidRDefault="008942F2">
            <w:pPr>
              <w:pStyle w:val="ReferentiegegevensBold"/>
              <w:widowControl w:val="0"/>
              <w:rPr>
                <w:rFonts w:ascii="Calibri" w:hAnsi="Calibri" w:cs="Arial"/>
                <w:b w:val="0"/>
                <w:bCs/>
                <w:sz w:val="20"/>
                <w:szCs w:val="20"/>
              </w:rPr>
            </w:pPr>
            <w:r w:rsidRPr="00CE5D7A">
              <w:rPr>
                <w:rFonts w:ascii="Calibri" w:hAnsi="Calibri" w:cs="Arial"/>
                <w:b w:val="0"/>
                <w:sz w:val="20"/>
                <w:szCs w:val="20"/>
              </w:rPr>
              <w:t>Agendapunt</w:t>
            </w:r>
          </w:p>
        </w:tc>
        <w:tc>
          <w:tcPr>
            <w:tcW w:w="7993" w:type="dxa"/>
          </w:tcPr>
          <w:p w14:paraId="48BD6801" w14:textId="77777777" w:rsidR="008942F2" w:rsidRPr="00CE5D7A" w:rsidRDefault="002E4320">
            <w:pPr>
              <w:pStyle w:val="Griffiedatumenagendapunt"/>
              <w:rPr>
                <w:rFonts w:ascii="Calibri" w:hAnsi="Calibri" w:cs="Arial"/>
                <w:bCs/>
                <w:szCs w:val="20"/>
              </w:rPr>
            </w:pPr>
            <w:r w:rsidRPr="00CE5D7A">
              <w:rPr>
                <w:rFonts w:ascii="Calibri" w:hAnsi="Calibri" w:cs="Arial"/>
                <w:bCs/>
                <w:szCs w:val="20"/>
              </w:rPr>
              <w:t>*</w:t>
            </w:r>
          </w:p>
        </w:tc>
      </w:tr>
      <w:tr w:rsidR="008942F2" w:rsidRPr="00CE5D7A" w14:paraId="0A356106" w14:textId="77777777">
        <w:trPr>
          <w:trHeight w:hRule="exact" w:val="284"/>
        </w:trPr>
        <w:tc>
          <w:tcPr>
            <w:tcW w:w="2211" w:type="dxa"/>
          </w:tcPr>
          <w:p w14:paraId="69C1C83D" w14:textId="77777777" w:rsidR="008942F2" w:rsidRPr="00CE5D7A" w:rsidRDefault="008942F2">
            <w:pPr>
              <w:pStyle w:val="ReferentiegegevensBold"/>
              <w:widowControl w:val="0"/>
              <w:rPr>
                <w:rFonts w:ascii="Calibri" w:hAnsi="Calibri" w:cs="Arial"/>
                <w:b w:val="0"/>
                <w:sz w:val="20"/>
                <w:szCs w:val="20"/>
              </w:rPr>
            </w:pPr>
            <w:r w:rsidRPr="00CE5D7A">
              <w:rPr>
                <w:rFonts w:ascii="Calibri" w:hAnsi="Calibri" w:cs="Arial"/>
                <w:b w:val="0"/>
                <w:sz w:val="20"/>
                <w:szCs w:val="20"/>
              </w:rPr>
              <w:t xml:space="preserve">Datum </w:t>
            </w:r>
            <w:r w:rsidR="006B2AFF" w:rsidRPr="00CE5D7A">
              <w:rPr>
                <w:rFonts w:ascii="Calibri" w:hAnsi="Calibri" w:cs="Arial"/>
                <w:b w:val="0"/>
                <w:sz w:val="20"/>
                <w:szCs w:val="20"/>
              </w:rPr>
              <w:t>indiening</w:t>
            </w:r>
          </w:p>
        </w:tc>
        <w:tc>
          <w:tcPr>
            <w:tcW w:w="7993" w:type="dxa"/>
          </w:tcPr>
          <w:p w14:paraId="4A2BB7C2" w14:textId="0A5AC673" w:rsidR="008942F2" w:rsidRPr="00CE5D7A" w:rsidRDefault="00C40DC3" w:rsidP="00627533">
            <w:pPr>
              <w:pStyle w:val="Griffiedatumenagendapunt"/>
              <w:rPr>
                <w:rFonts w:ascii="Calibri" w:hAnsi="Calibri" w:cs="Arial"/>
                <w:szCs w:val="20"/>
              </w:rPr>
            </w:pPr>
            <w:r>
              <w:rPr>
                <w:rFonts w:ascii="Calibri" w:hAnsi="Calibri" w:cs="Arial"/>
                <w:szCs w:val="20"/>
              </w:rPr>
              <w:t>17</w:t>
            </w:r>
            <w:r w:rsidR="00F31ED7">
              <w:rPr>
                <w:rFonts w:ascii="Calibri" w:hAnsi="Calibri" w:cs="Arial"/>
                <w:szCs w:val="20"/>
              </w:rPr>
              <w:t xml:space="preserve"> </w:t>
            </w:r>
            <w:r w:rsidR="00E82D76">
              <w:rPr>
                <w:rFonts w:ascii="Calibri" w:hAnsi="Calibri" w:cs="Arial"/>
                <w:szCs w:val="20"/>
              </w:rPr>
              <w:t>april</w:t>
            </w:r>
            <w:r w:rsidR="00627533">
              <w:rPr>
                <w:rFonts w:ascii="Calibri" w:hAnsi="Calibri" w:cs="Arial"/>
                <w:szCs w:val="20"/>
              </w:rPr>
              <w:t xml:space="preserve"> </w:t>
            </w:r>
            <w:r w:rsidR="00645644" w:rsidRPr="00CE5D7A">
              <w:rPr>
                <w:rFonts w:ascii="Calibri" w:hAnsi="Calibri" w:cs="Arial"/>
                <w:szCs w:val="20"/>
              </w:rPr>
              <w:t>201</w:t>
            </w:r>
            <w:r w:rsidR="00627533">
              <w:rPr>
                <w:rFonts w:ascii="Calibri" w:hAnsi="Calibri" w:cs="Arial"/>
                <w:szCs w:val="20"/>
              </w:rPr>
              <w:t>5</w:t>
            </w:r>
          </w:p>
        </w:tc>
      </w:tr>
    </w:tbl>
    <w:p w14:paraId="3CD7EAF6" w14:textId="77777777" w:rsidR="008942F2" w:rsidRPr="00CE5D7A" w:rsidRDefault="008942F2">
      <w:pPr>
        <w:pStyle w:val="Witregel"/>
        <w:widowControl w:val="0"/>
        <w:rPr>
          <w:rFonts w:ascii="Calibri" w:hAnsi="Calibri" w:cs="Arial"/>
          <w:sz w:val="20"/>
          <w:szCs w:val="20"/>
        </w:rPr>
      </w:pPr>
    </w:p>
    <w:tbl>
      <w:tblPr>
        <w:tblW w:w="0" w:type="auto"/>
        <w:tblInd w:w="-2160" w:type="dxa"/>
        <w:tblBorders>
          <w:top w:val="single" w:sz="18" w:space="0" w:color="auto"/>
        </w:tblBorders>
        <w:shd w:val="clear" w:color="auto" w:fill="C0C0C0"/>
        <w:tblLayout w:type="fixed"/>
        <w:tblCellMar>
          <w:left w:w="0" w:type="dxa"/>
          <w:right w:w="0" w:type="dxa"/>
        </w:tblCellMar>
        <w:tblLook w:val="0000" w:firstRow="0" w:lastRow="0" w:firstColumn="0" w:lastColumn="0" w:noHBand="0" w:noVBand="0"/>
      </w:tblPr>
      <w:tblGrid>
        <w:gridCol w:w="2160"/>
        <w:gridCol w:w="7993"/>
      </w:tblGrid>
      <w:tr w:rsidR="008942F2" w:rsidRPr="00CE5D7A" w14:paraId="705893D4" w14:textId="77777777" w:rsidTr="00645644">
        <w:trPr>
          <w:trHeight w:val="397"/>
        </w:trPr>
        <w:tc>
          <w:tcPr>
            <w:tcW w:w="2160" w:type="dxa"/>
            <w:vMerge w:val="restart"/>
            <w:tcBorders>
              <w:top w:val="nil"/>
            </w:tcBorders>
            <w:shd w:val="clear" w:color="auto" w:fill="auto"/>
          </w:tcPr>
          <w:p w14:paraId="425DB9A8" w14:textId="77777777" w:rsidR="008942F2" w:rsidRPr="00CE5D7A" w:rsidRDefault="008942F2">
            <w:pPr>
              <w:pStyle w:val="Kopmetlijn"/>
              <w:widowControl w:val="0"/>
              <w:spacing w:line="270" w:lineRule="exact"/>
              <w:rPr>
                <w:rFonts w:ascii="Calibri" w:hAnsi="Calibri" w:cs="Arial"/>
                <w:b w:val="0"/>
                <w:sz w:val="20"/>
                <w:szCs w:val="20"/>
              </w:rPr>
            </w:pPr>
            <w:r w:rsidRPr="00CE5D7A">
              <w:rPr>
                <w:rFonts w:ascii="Calibri" w:hAnsi="Calibri" w:cs="Arial"/>
                <w:b w:val="0"/>
                <w:sz w:val="20"/>
                <w:szCs w:val="20"/>
              </w:rPr>
              <w:t>Tekst wordt gepubliceerd in Gemeenteblad</w:t>
            </w:r>
          </w:p>
        </w:tc>
        <w:tc>
          <w:tcPr>
            <w:tcW w:w="7993" w:type="dxa"/>
            <w:shd w:val="clear" w:color="auto" w:fill="C0C0C0"/>
          </w:tcPr>
          <w:p w14:paraId="20A83727" w14:textId="77777777" w:rsidR="008942F2" w:rsidRPr="00CE5D7A" w:rsidRDefault="008942F2">
            <w:pPr>
              <w:pStyle w:val="Kopmetlijn"/>
              <w:widowControl w:val="0"/>
              <w:spacing w:line="270" w:lineRule="exact"/>
              <w:rPr>
                <w:rFonts w:ascii="Calibri" w:hAnsi="Calibri" w:cs="Arial"/>
                <w:sz w:val="20"/>
                <w:szCs w:val="20"/>
              </w:rPr>
            </w:pPr>
            <w:r w:rsidRPr="00CE5D7A">
              <w:rPr>
                <w:rFonts w:ascii="Calibri" w:hAnsi="Calibri" w:cs="Arial"/>
                <w:sz w:val="20"/>
                <w:szCs w:val="20"/>
              </w:rPr>
              <w:t>Onderwerp</w:t>
            </w:r>
          </w:p>
        </w:tc>
      </w:tr>
      <w:tr w:rsidR="008942F2" w:rsidRPr="00CE5D7A" w14:paraId="2B94A841" w14:textId="77777777" w:rsidTr="00645644">
        <w:trPr>
          <w:trHeight w:hRule="exact" w:val="20"/>
        </w:trPr>
        <w:tc>
          <w:tcPr>
            <w:tcW w:w="2160" w:type="dxa"/>
            <w:vMerge/>
            <w:tcBorders>
              <w:top w:val="nil"/>
            </w:tcBorders>
            <w:shd w:val="clear" w:color="auto" w:fill="auto"/>
          </w:tcPr>
          <w:p w14:paraId="112C22DB" w14:textId="77777777" w:rsidR="008942F2" w:rsidRPr="00CE5D7A" w:rsidRDefault="008942F2">
            <w:pPr>
              <w:pStyle w:val="Koptekst"/>
              <w:widowControl w:val="0"/>
              <w:tabs>
                <w:tab w:val="clear" w:pos="4153"/>
                <w:tab w:val="clear" w:pos="8306"/>
              </w:tabs>
              <w:spacing w:line="270" w:lineRule="exact"/>
              <w:rPr>
                <w:rFonts w:ascii="Calibri" w:hAnsi="Calibri" w:cs="Arial"/>
                <w:sz w:val="20"/>
                <w:szCs w:val="20"/>
              </w:rPr>
            </w:pPr>
          </w:p>
        </w:tc>
        <w:tc>
          <w:tcPr>
            <w:tcW w:w="7993" w:type="dxa"/>
            <w:shd w:val="clear" w:color="auto" w:fill="C0C0C0"/>
          </w:tcPr>
          <w:p w14:paraId="6541E254" w14:textId="77777777" w:rsidR="008942F2" w:rsidRPr="00CE5D7A" w:rsidRDefault="008942F2">
            <w:pPr>
              <w:pStyle w:val="Koptekst"/>
              <w:widowControl w:val="0"/>
              <w:tabs>
                <w:tab w:val="clear" w:pos="4153"/>
                <w:tab w:val="clear" w:pos="8306"/>
              </w:tabs>
              <w:spacing w:line="270" w:lineRule="exact"/>
              <w:ind w:firstLine="709"/>
              <w:rPr>
                <w:rFonts w:ascii="Calibri" w:hAnsi="Calibri" w:cs="Arial"/>
                <w:sz w:val="20"/>
                <w:szCs w:val="20"/>
              </w:rPr>
            </w:pPr>
          </w:p>
        </w:tc>
      </w:tr>
      <w:tr w:rsidR="008942F2" w:rsidRPr="00CE5D7A" w14:paraId="2D1D0849" w14:textId="77777777" w:rsidTr="00645644">
        <w:trPr>
          <w:trHeight w:val="284"/>
        </w:trPr>
        <w:tc>
          <w:tcPr>
            <w:tcW w:w="2160" w:type="dxa"/>
            <w:vMerge/>
            <w:tcBorders>
              <w:top w:val="nil"/>
            </w:tcBorders>
            <w:shd w:val="clear" w:color="auto" w:fill="auto"/>
          </w:tcPr>
          <w:p w14:paraId="01078322" w14:textId="77777777" w:rsidR="008942F2" w:rsidRPr="00CE5D7A" w:rsidRDefault="008942F2">
            <w:pPr>
              <w:widowControl w:val="0"/>
              <w:tabs>
                <w:tab w:val="left" w:pos="284"/>
              </w:tabs>
              <w:rPr>
                <w:rFonts w:ascii="Calibri" w:hAnsi="Calibri" w:cs="Arial"/>
                <w:sz w:val="20"/>
                <w:szCs w:val="20"/>
              </w:rPr>
            </w:pPr>
          </w:p>
        </w:tc>
        <w:tc>
          <w:tcPr>
            <w:tcW w:w="7993" w:type="dxa"/>
            <w:shd w:val="clear" w:color="auto" w:fill="C0C0C0"/>
          </w:tcPr>
          <w:p w14:paraId="183E67B3" w14:textId="77777777" w:rsidR="008942F2" w:rsidRPr="00CE5D7A" w:rsidRDefault="002D78DA">
            <w:pPr>
              <w:widowControl w:val="0"/>
              <w:tabs>
                <w:tab w:val="left" w:pos="284"/>
              </w:tabs>
              <w:rPr>
                <w:rFonts w:ascii="Calibri" w:hAnsi="Calibri" w:cs="Arial"/>
                <w:sz w:val="20"/>
                <w:szCs w:val="20"/>
              </w:rPr>
            </w:pPr>
            <w:r w:rsidRPr="00CE5D7A">
              <w:rPr>
                <w:rFonts w:ascii="Calibri" w:hAnsi="Calibri" w:cs="Arial"/>
                <w:sz w:val="20"/>
                <w:szCs w:val="20"/>
              </w:rPr>
              <w:t xml:space="preserve">Initiatiefvoorstel </w:t>
            </w:r>
            <w:r w:rsidR="002E4320" w:rsidRPr="00CE5D7A">
              <w:rPr>
                <w:rFonts w:ascii="Calibri" w:hAnsi="Calibri" w:cs="Arial"/>
                <w:sz w:val="20"/>
                <w:szCs w:val="20"/>
              </w:rPr>
              <w:t xml:space="preserve">van </w:t>
            </w:r>
            <w:r w:rsidR="0012125F">
              <w:rPr>
                <w:rFonts w:ascii="Calibri" w:hAnsi="Calibri" w:cs="Arial"/>
                <w:sz w:val="20"/>
                <w:szCs w:val="20"/>
              </w:rPr>
              <w:t>het</w:t>
            </w:r>
            <w:r w:rsidR="002E4320" w:rsidRPr="00CE5D7A">
              <w:rPr>
                <w:rFonts w:ascii="Calibri" w:hAnsi="Calibri" w:cs="Arial"/>
                <w:sz w:val="20"/>
                <w:szCs w:val="20"/>
              </w:rPr>
              <w:t xml:space="preserve"> raadsl</w:t>
            </w:r>
            <w:r w:rsidR="0012125F">
              <w:rPr>
                <w:rFonts w:ascii="Calibri" w:hAnsi="Calibri" w:cs="Arial"/>
                <w:sz w:val="20"/>
                <w:szCs w:val="20"/>
              </w:rPr>
              <w:t>i</w:t>
            </w:r>
            <w:r w:rsidR="002E4320" w:rsidRPr="00CE5D7A">
              <w:rPr>
                <w:rFonts w:ascii="Calibri" w:hAnsi="Calibri" w:cs="Arial"/>
                <w:sz w:val="20"/>
                <w:szCs w:val="20"/>
              </w:rPr>
              <w:t xml:space="preserve">d </w:t>
            </w:r>
            <w:r w:rsidR="0012125F">
              <w:rPr>
                <w:rFonts w:ascii="Calibri" w:hAnsi="Calibri" w:cs="Arial"/>
                <w:sz w:val="20"/>
                <w:szCs w:val="20"/>
              </w:rPr>
              <w:t xml:space="preserve">Boutkan </w:t>
            </w:r>
            <w:r w:rsidR="00CE5D7A" w:rsidRPr="00CE5D7A">
              <w:rPr>
                <w:rFonts w:ascii="Calibri" w:hAnsi="Calibri" w:cs="Arial"/>
                <w:sz w:val="20"/>
                <w:szCs w:val="20"/>
              </w:rPr>
              <w:t>(PvdA)</w:t>
            </w:r>
            <w:r w:rsidR="0012125F">
              <w:rPr>
                <w:rFonts w:ascii="Calibri" w:hAnsi="Calibri" w:cs="Arial"/>
                <w:sz w:val="20"/>
                <w:szCs w:val="20"/>
              </w:rPr>
              <w:t>,</w:t>
            </w:r>
            <w:r w:rsidR="00CE5D7A" w:rsidRPr="00CE5D7A">
              <w:rPr>
                <w:rFonts w:ascii="Calibri" w:hAnsi="Calibri" w:cs="Arial"/>
                <w:sz w:val="20"/>
                <w:szCs w:val="20"/>
              </w:rPr>
              <w:t xml:space="preserve"> getiteld ‘</w:t>
            </w:r>
            <w:r w:rsidR="0012125F">
              <w:rPr>
                <w:rFonts w:ascii="Calibri" w:hAnsi="Calibri" w:cs="Arial"/>
                <w:sz w:val="20"/>
                <w:szCs w:val="20"/>
              </w:rPr>
              <w:t xml:space="preserve">Beperking topsalaris externe </w:t>
            </w:r>
            <w:proofErr w:type="gramStart"/>
            <w:r w:rsidR="0012125F">
              <w:rPr>
                <w:rFonts w:ascii="Calibri" w:hAnsi="Calibri" w:cs="Arial"/>
                <w:sz w:val="20"/>
                <w:szCs w:val="20"/>
              </w:rPr>
              <w:t>inhuur</w:t>
            </w:r>
            <w:proofErr w:type="gramEnd"/>
            <w:r w:rsidR="0012125F">
              <w:rPr>
                <w:rFonts w:ascii="Calibri" w:hAnsi="Calibri" w:cs="Arial"/>
                <w:sz w:val="20"/>
                <w:szCs w:val="20"/>
              </w:rPr>
              <w:t>’</w:t>
            </w:r>
          </w:p>
        </w:tc>
      </w:tr>
    </w:tbl>
    <w:p w14:paraId="4DD397B9" w14:textId="77777777" w:rsidR="008942F2" w:rsidRPr="00CE5D7A" w:rsidRDefault="008942F2">
      <w:pPr>
        <w:rPr>
          <w:rFonts w:ascii="Calibri" w:hAnsi="Calibri" w:cs="Arial"/>
          <w:i/>
          <w:iCs/>
          <w:sz w:val="20"/>
          <w:szCs w:val="20"/>
        </w:rPr>
      </w:pPr>
      <w:r w:rsidRPr="00CE5D7A">
        <w:rPr>
          <w:rFonts w:ascii="Calibri" w:hAnsi="Calibri" w:cs="Arial"/>
          <w:i/>
          <w:iCs/>
          <w:sz w:val="20"/>
          <w:szCs w:val="20"/>
        </w:rPr>
        <w:t>Met deze voordracht stellen wij u voor het volgende besluit te nemen:</w:t>
      </w:r>
    </w:p>
    <w:tbl>
      <w:tblPr>
        <w:tblW w:w="0" w:type="auto"/>
        <w:tblInd w:w="-2160" w:type="dxa"/>
        <w:tblBorders>
          <w:top w:val="single" w:sz="18" w:space="0" w:color="auto"/>
        </w:tblBorders>
        <w:shd w:val="clear" w:color="auto" w:fill="C0C0C0"/>
        <w:tblLayout w:type="fixed"/>
        <w:tblCellMar>
          <w:left w:w="0" w:type="dxa"/>
          <w:right w:w="0" w:type="dxa"/>
        </w:tblCellMar>
        <w:tblLook w:val="0000" w:firstRow="0" w:lastRow="0" w:firstColumn="0" w:lastColumn="0" w:noHBand="0" w:noVBand="0"/>
      </w:tblPr>
      <w:tblGrid>
        <w:gridCol w:w="2160"/>
        <w:gridCol w:w="7993"/>
      </w:tblGrid>
      <w:tr w:rsidR="008942F2" w:rsidRPr="00CE5D7A" w14:paraId="3C03A740" w14:textId="77777777" w:rsidTr="00645644">
        <w:trPr>
          <w:trHeight w:val="397"/>
        </w:trPr>
        <w:tc>
          <w:tcPr>
            <w:tcW w:w="2160" w:type="dxa"/>
            <w:vMerge w:val="restart"/>
            <w:tcBorders>
              <w:top w:val="nil"/>
            </w:tcBorders>
            <w:shd w:val="clear" w:color="auto" w:fill="auto"/>
          </w:tcPr>
          <w:p w14:paraId="49706312" w14:textId="77777777" w:rsidR="008942F2" w:rsidRPr="00CE5D7A" w:rsidRDefault="008942F2">
            <w:pPr>
              <w:pStyle w:val="Kopmetlijn"/>
              <w:widowControl w:val="0"/>
              <w:spacing w:line="270" w:lineRule="exact"/>
              <w:rPr>
                <w:rFonts w:ascii="Calibri" w:hAnsi="Calibri" w:cs="Arial"/>
                <w:b w:val="0"/>
                <w:sz w:val="20"/>
                <w:szCs w:val="20"/>
              </w:rPr>
            </w:pPr>
            <w:r w:rsidRPr="00CE5D7A">
              <w:rPr>
                <w:rFonts w:ascii="Calibri" w:hAnsi="Calibri" w:cs="Arial"/>
                <w:b w:val="0"/>
                <w:sz w:val="20"/>
                <w:szCs w:val="20"/>
              </w:rPr>
              <w:t>Tekst wordt gepubliceerd in Gemeenteblad</w:t>
            </w:r>
          </w:p>
        </w:tc>
        <w:tc>
          <w:tcPr>
            <w:tcW w:w="7993" w:type="dxa"/>
            <w:shd w:val="clear" w:color="auto" w:fill="C0C0C0"/>
          </w:tcPr>
          <w:p w14:paraId="77957703" w14:textId="77777777" w:rsidR="008942F2" w:rsidRPr="00CE5D7A" w:rsidRDefault="008942F2">
            <w:pPr>
              <w:pStyle w:val="Kopmetlijn"/>
              <w:widowControl w:val="0"/>
              <w:spacing w:line="270" w:lineRule="exact"/>
              <w:rPr>
                <w:rFonts w:ascii="Calibri" w:hAnsi="Calibri" w:cs="Arial"/>
                <w:sz w:val="20"/>
                <w:szCs w:val="20"/>
              </w:rPr>
            </w:pPr>
            <w:r w:rsidRPr="00CE5D7A">
              <w:rPr>
                <w:rFonts w:ascii="Calibri" w:hAnsi="Calibri" w:cs="Arial"/>
                <w:sz w:val="20"/>
                <w:szCs w:val="20"/>
              </w:rPr>
              <w:t>De ge</w:t>
            </w:r>
            <w:r w:rsidR="00FD23B0" w:rsidRPr="00CE5D7A">
              <w:rPr>
                <w:rFonts w:ascii="Calibri" w:hAnsi="Calibri" w:cs="Arial"/>
                <w:sz w:val="20"/>
                <w:szCs w:val="20"/>
              </w:rPr>
              <w:t>meenteraad van Amsterdam</w:t>
            </w:r>
          </w:p>
        </w:tc>
      </w:tr>
      <w:tr w:rsidR="008942F2" w:rsidRPr="00CE5D7A" w14:paraId="467C31E5" w14:textId="77777777" w:rsidTr="00645644">
        <w:trPr>
          <w:trHeight w:hRule="exact" w:val="20"/>
        </w:trPr>
        <w:tc>
          <w:tcPr>
            <w:tcW w:w="2160" w:type="dxa"/>
            <w:vMerge/>
            <w:tcBorders>
              <w:top w:val="nil"/>
            </w:tcBorders>
            <w:shd w:val="clear" w:color="auto" w:fill="auto"/>
          </w:tcPr>
          <w:p w14:paraId="73341126" w14:textId="77777777" w:rsidR="008942F2" w:rsidRPr="00CE5D7A" w:rsidRDefault="008942F2">
            <w:pPr>
              <w:pStyle w:val="Koptekst"/>
              <w:widowControl w:val="0"/>
              <w:tabs>
                <w:tab w:val="clear" w:pos="4153"/>
                <w:tab w:val="clear" w:pos="8306"/>
              </w:tabs>
              <w:spacing w:line="270" w:lineRule="exact"/>
              <w:rPr>
                <w:rFonts w:ascii="Calibri" w:hAnsi="Calibri" w:cs="Arial"/>
                <w:sz w:val="20"/>
                <w:szCs w:val="20"/>
              </w:rPr>
            </w:pPr>
          </w:p>
        </w:tc>
        <w:tc>
          <w:tcPr>
            <w:tcW w:w="7993" w:type="dxa"/>
            <w:shd w:val="clear" w:color="auto" w:fill="C0C0C0"/>
          </w:tcPr>
          <w:p w14:paraId="2F82C2E9" w14:textId="77777777" w:rsidR="008942F2" w:rsidRPr="00CE5D7A" w:rsidRDefault="008942F2">
            <w:pPr>
              <w:pStyle w:val="Koptekst"/>
              <w:widowControl w:val="0"/>
              <w:tabs>
                <w:tab w:val="clear" w:pos="4153"/>
                <w:tab w:val="clear" w:pos="8306"/>
              </w:tabs>
              <w:spacing w:line="270" w:lineRule="exact"/>
              <w:ind w:firstLine="709"/>
              <w:rPr>
                <w:rFonts w:ascii="Calibri" w:hAnsi="Calibri" w:cs="Arial"/>
                <w:sz w:val="20"/>
                <w:szCs w:val="20"/>
              </w:rPr>
            </w:pPr>
          </w:p>
        </w:tc>
      </w:tr>
      <w:tr w:rsidR="008942F2" w:rsidRPr="00CE5D7A" w14:paraId="07E57A65" w14:textId="77777777" w:rsidTr="00645644">
        <w:trPr>
          <w:trHeight w:val="284"/>
        </w:trPr>
        <w:tc>
          <w:tcPr>
            <w:tcW w:w="2160" w:type="dxa"/>
            <w:vMerge/>
            <w:tcBorders>
              <w:top w:val="nil"/>
            </w:tcBorders>
            <w:shd w:val="clear" w:color="auto" w:fill="auto"/>
          </w:tcPr>
          <w:p w14:paraId="25930273" w14:textId="77777777" w:rsidR="008942F2" w:rsidRPr="00CE5D7A" w:rsidRDefault="008942F2">
            <w:pPr>
              <w:widowControl w:val="0"/>
              <w:tabs>
                <w:tab w:val="left" w:pos="284"/>
              </w:tabs>
              <w:rPr>
                <w:rFonts w:ascii="Calibri" w:hAnsi="Calibri" w:cs="Arial"/>
                <w:sz w:val="20"/>
                <w:szCs w:val="20"/>
              </w:rPr>
            </w:pPr>
          </w:p>
        </w:tc>
        <w:tc>
          <w:tcPr>
            <w:tcW w:w="7993" w:type="dxa"/>
            <w:shd w:val="clear" w:color="auto" w:fill="C0C0C0"/>
          </w:tcPr>
          <w:p w14:paraId="13D1AA9B" w14:textId="68A604CA" w:rsidR="002D78DA" w:rsidRPr="00CE5D7A" w:rsidRDefault="002D78DA" w:rsidP="002D78DA">
            <w:pPr>
              <w:widowControl w:val="0"/>
              <w:tabs>
                <w:tab w:val="left" w:pos="284"/>
              </w:tabs>
              <w:rPr>
                <w:rFonts w:ascii="Calibri" w:hAnsi="Calibri" w:cs="Arial"/>
                <w:sz w:val="20"/>
                <w:szCs w:val="20"/>
              </w:rPr>
            </w:pPr>
            <w:r w:rsidRPr="00CE5D7A">
              <w:rPr>
                <w:rFonts w:ascii="Calibri" w:hAnsi="Calibri" w:cs="Arial"/>
                <w:sz w:val="20"/>
                <w:szCs w:val="20"/>
              </w:rPr>
              <w:t xml:space="preserve">Gezien het initiatiefvoorstel van </w:t>
            </w:r>
            <w:r w:rsidR="008527A3">
              <w:rPr>
                <w:rFonts w:ascii="Calibri" w:hAnsi="Calibri" w:cs="Arial"/>
                <w:sz w:val="20"/>
                <w:szCs w:val="20"/>
              </w:rPr>
              <w:t xml:space="preserve">het Raadslid Boutkan, getiteld ‘Beperking topsalaris externe </w:t>
            </w:r>
            <w:proofErr w:type="gramStart"/>
            <w:r w:rsidR="008527A3">
              <w:rPr>
                <w:rFonts w:ascii="Calibri" w:hAnsi="Calibri" w:cs="Arial"/>
                <w:sz w:val="20"/>
                <w:szCs w:val="20"/>
              </w:rPr>
              <w:t>inhuur</w:t>
            </w:r>
            <w:proofErr w:type="gramEnd"/>
            <w:r w:rsidR="008527A3">
              <w:rPr>
                <w:rFonts w:ascii="Calibri" w:hAnsi="Calibri" w:cs="Arial"/>
                <w:sz w:val="20"/>
                <w:szCs w:val="20"/>
              </w:rPr>
              <w:t>’</w:t>
            </w:r>
          </w:p>
          <w:p w14:paraId="6D8AB1F4" w14:textId="77777777" w:rsidR="002D78DA" w:rsidRPr="00CE5D7A" w:rsidRDefault="002D78DA" w:rsidP="002D78DA">
            <w:pPr>
              <w:widowControl w:val="0"/>
              <w:tabs>
                <w:tab w:val="left" w:pos="284"/>
              </w:tabs>
              <w:rPr>
                <w:rFonts w:ascii="Calibri" w:hAnsi="Calibri" w:cs="Arial"/>
                <w:sz w:val="20"/>
                <w:szCs w:val="20"/>
              </w:rPr>
            </w:pPr>
          </w:p>
          <w:p w14:paraId="4D70F598" w14:textId="29B5B568" w:rsidR="002D78DA" w:rsidRPr="00C40DC3" w:rsidRDefault="002D78DA" w:rsidP="002D78DA">
            <w:pPr>
              <w:widowControl w:val="0"/>
              <w:tabs>
                <w:tab w:val="left" w:pos="284"/>
              </w:tabs>
              <w:rPr>
                <w:rFonts w:ascii="Calibri" w:hAnsi="Calibri" w:cs="Arial"/>
                <w:b/>
                <w:sz w:val="20"/>
                <w:szCs w:val="20"/>
              </w:rPr>
            </w:pPr>
            <w:r w:rsidRPr="00CE5D7A">
              <w:rPr>
                <w:rFonts w:ascii="Calibri" w:hAnsi="Calibri" w:cs="Arial"/>
                <w:b/>
                <w:sz w:val="20"/>
                <w:szCs w:val="20"/>
              </w:rPr>
              <w:t>besluit</w:t>
            </w:r>
          </w:p>
          <w:p w14:paraId="577BE3B2" w14:textId="050D720C" w:rsidR="00C40DC3" w:rsidRDefault="002D78DA" w:rsidP="00C40DC3">
            <w:pPr>
              <w:widowControl w:val="0"/>
              <w:numPr>
                <w:ilvl w:val="0"/>
                <w:numId w:val="5"/>
              </w:numPr>
              <w:tabs>
                <w:tab w:val="left" w:pos="720"/>
              </w:tabs>
              <w:rPr>
                <w:rFonts w:ascii="Calibri" w:hAnsi="Calibri" w:cs="Arial"/>
                <w:sz w:val="20"/>
                <w:szCs w:val="20"/>
              </w:rPr>
            </w:pPr>
            <w:r w:rsidRPr="00CE5D7A">
              <w:rPr>
                <w:rFonts w:ascii="Calibri" w:hAnsi="Calibri" w:cs="Arial"/>
                <w:sz w:val="20"/>
                <w:szCs w:val="20"/>
              </w:rPr>
              <w:t>in te stemmen met</w:t>
            </w:r>
            <w:r w:rsidR="008527A3">
              <w:rPr>
                <w:rFonts w:ascii="Calibri" w:hAnsi="Calibri" w:cs="Arial"/>
                <w:sz w:val="20"/>
                <w:szCs w:val="20"/>
              </w:rPr>
              <w:t xml:space="preserve"> </w:t>
            </w:r>
            <w:r w:rsidR="00FA3095">
              <w:rPr>
                <w:rFonts w:ascii="Calibri" w:hAnsi="Calibri" w:cs="Arial"/>
                <w:sz w:val="20"/>
                <w:szCs w:val="20"/>
              </w:rPr>
              <w:t>genoemd initiatiefvoorstel en volgende besluitpunt</w:t>
            </w:r>
            <w:r w:rsidR="00C40DC3">
              <w:rPr>
                <w:rFonts w:ascii="Calibri" w:hAnsi="Calibri" w:cs="Arial"/>
                <w:sz w:val="20"/>
                <w:szCs w:val="20"/>
              </w:rPr>
              <w:t xml:space="preserve">en voor wijziging van </w:t>
            </w:r>
            <w:r w:rsidR="009C29F7">
              <w:rPr>
                <w:rFonts w:ascii="Calibri" w:hAnsi="Calibri" w:cs="Arial"/>
                <w:sz w:val="20"/>
                <w:szCs w:val="20"/>
              </w:rPr>
              <w:t xml:space="preserve">de </w:t>
            </w:r>
            <w:bookmarkStart w:id="1" w:name="_GoBack"/>
            <w:bookmarkEnd w:id="1"/>
            <w:r w:rsidR="00C40DC3">
              <w:rPr>
                <w:rFonts w:ascii="Calibri" w:hAnsi="Calibri" w:cs="Arial"/>
                <w:sz w:val="20"/>
                <w:szCs w:val="20"/>
              </w:rPr>
              <w:t>Gedragscode Externe Inhuur (2 juli 2013)</w:t>
            </w:r>
            <w:r w:rsidR="009C29F7">
              <w:rPr>
                <w:rFonts w:ascii="Calibri" w:hAnsi="Calibri" w:cs="Arial"/>
                <w:sz w:val="20"/>
                <w:szCs w:val="20"/>
              </w:rPr>
              <w:t>:</w:t>
            </w:r>
          </w:p>
          <w:p w14:paraId="54A9474F" w14:textId="08EB656A" w:rsidR="00C40DC3" w:rsidRPr="00C40DC3" w:rsidRDefault="00C40DC3" w:rsidP="00C40DC3">
            <w:pPr>
              <w:pStyle w:val="Lijstalinea"/>
              <w:numPr>
                <w:ilvl w:val="0"/>
                <w:numId w:val="5"/>
              </w:numPr>
              <w:spacing w:after="0" w:line="240" w:lineRule="auto"/>
              <w:rPr>
                <w:rFonts w:asciiTheme="minorHAnsi" w:hAnsiTheme="minorHAnsi"/>
                <w:sz w:val="20"/>
                <w:szCs w:val="20"/>
              </w:rPr>
            </w:pPr>
            <w:r>
              <w:rPr>
                <w:rFonts w:asciiTheme="minorHAnsi" w:hAnsiTheme="minorHAnsi"/>
                <w:sz w:val="20"/>
                <w:szCs w:val="20"/>
              </w:rPr>
              <w:t>Op pagina 3 dient</w:t>
            </w:r>
            <w:r w:rsidRPr="00D569A5">
              <w:rPr>
                <w:rFonts w:asciiTheme="minorHAnsi" w:hAnsiTheme="minorHAnsi"/>
                <w:sz w:val="20"/>
                <w:szCs w:val="20"/>
              </w:rPr>
              <w:t xml:space="preserve"> </w:t>
            </w:r>
            <w:r>
              <w:rPr>
                <w:rFonts w:asciiTheme="minorHAnsi" w:hAnsiTheme="minorHAnsi"/>
                <w:sz w:val="20"/>
                <w:szCs w:val="20"/>
              </w:rPr>
              <w:t>bij de zin “Het betreft vier soorten van inhuur</w:t>
            </w:r>
            <w:proofErr w:type="gramStart"/>
            <w:r>
              <w:rPr>
                <w:rFonts w:asciiTheme="minorHAnsi" w:hAnsiTheme="minorHAnsi"/>
                <w:sz w:val="20"/>
                <w:szCs w:val="20"/>
              </w:rPr>
              <w:t>..</w:t>
            </w:r>
            <w:proofErr w:type="gramEnd"/>
            <w:r>
              <w:rPr>
                <w:rFonts w:asciiTheme="minorHAnsi" w:hAnsiTheme="minorHAnsi"/>
                <w:sz w:val="20"/>
                <w:szCs w:val="20"/>
              </w:rPr>
              <w:t>” het maximale uurtarief</w:t>
            </w:r>
            <w:r w:rsidRPr="00D569A5">
              <w:rPr>
                <w:rFonts w:asciiTheme="minorHAnsi" w:hAnsiTheme="minorHAnsi"/>
                <w:sz w:val="20"/>
                <w:szCs w:val="20"/>
              </w:rPr>
              <w:t xml:space="preserve"> </w:t>
            </w:r>
            <w:r>
              <w:rPr>
                <w:rFonts w:asciiTheme="minorHAnsi" w:hAnsiTheme="minorHAnsi"/>
                <w:sz w:val="20"/>
                <w:szCs w:val="20"/>
              </w:rPr>
              <w:t xml:space="preserve">verlaagd te worden van € 150,00 </w:t>
            </w:r>
            <w:r w:rsidRPr="00D569A5">
              <w:rPr>
                <w:rFonts w:asciiTheme="minorHAnsi" w:hAnsiTheme="minorHAnsi"/>
                <w:sz w:val="20"/>
                <w:szCs w:val="20"/>
              </w:rPr>
              <w:t>naar € 125,00</w:t>
            </w:r>
            <w:r>
              <w:rPr>
                <w:rFonts w:asciiTheme="minorHAnsi" w:hAnsiTheme="minorHAnsi"/>
                <w:sz w:val="20"/>
                <w:szCs w:val="20"/>
              </w:rPr>
              <w:t xml:space="preserve"> per uur. Tevens dient het woord “Europese aanbestedingsgrens” vervangen te worden door “Amsterdamse norm van </w:t>
            </w:r>
            <w:r w:rsidRPr="00C40DC3">
              <w:rPr>
                <w:rFonts w:asciiTheme="minorHAnsi" w:hAnsiTheme="minorHAnsi"/>
                <w:sz w:val="20"/>
                <w:szCs w:val="20"/>
              </w:rPr>
              <w:t xml:space="preserve">€ 178.000,00”. </w:t>
            </w:r>
          </w:p>
          <w:p w14:paraId="7D21717F" w14:textId="77777777" w:rsidR="00C40DC3" w:rsidRPr="00236D9E" w:rsidRDefault="00C40DC3" w:rsidP="00C40DC3">
            <w:pPr>
              <w:pStyle w:val="Lijstalinea"/>
              <w:numPr>
                <w:ilvl w:val="0"/>
                <w:numId w:val="5"/>
              </w:numPr>
              <w:spacing w:after="0" w:line="240" w:lineRule="auto"/>
              <w:rPr>
                <w:rFonts w:asciiTheme="minorHAnsi" w:hAnsiTheme="minorHAnsi"/>
                <w:sz w:val="20"/>
                <w:szCs w:val="20"/>
              </w:rPr>
            </w:pPr>
            <w:r>
              <w:rPr>
                <w:rFonts w:asciiTheme="minorHAnsi" w:hAnsiTheme="minorHAnsi"/>
                <w:sz w:val="20"/>
                <w:szCs w:val="20"/>
              </w:rPr>
              <w:t>Op pagina 6, 1</w:t>
            </w:r>
            <w:r w:rsidRPr="00F13FE8">
              <w:rPr>
                <w:rFonts w:asciiTheme="minorHAnsi" w:hAnsiTheme="minorHAnsi"/>
                <w:sz w:val="20"/>
                <w:szCs w:val="20"/>
                <w:vertAlign w:val="superscript"/>
              </w:rPr>
              <w:t>e</w:t>
            </w:r>
            <w:r>
              <w:rPr>
                <w:rFonts w:asciiTheme="minorHAnsi" w:hAnsiTheme="minorHAnsi"/>
                <w:sz w:val="20"/>
                <w:szCs w:val="20"/>
              </w:rPr>
              <w:t xml:space="preserve"> alinea wordt het maximumuurtarief genoemd van €150,00. Dit moet worden verlaagd naar €125,00. Verder </w:t>
            </w:r>
            <w:r w:rsidRPr="00D569A5">
              <w:rPr>
                <w:rFonts w:asciiTheme="minorHAnsi" w:hAnsiTheme="minorHAnsi"/>
                <w:sz w:val="20"/>
                <w:szCs w:val="20"/>
              </w:rPr>
              <w:t xml:space="preserve">wordt gesproken </w:t>
            </w:r>
            <w:r>
              <w:rPr>
                <w:rFonts w:asciiTheme="minorHAnsi" w:hAnsiTheme="minorHAnsi"/>
                <w:sz w:val="20"/>
                <w:szCs w:val="20"/>
              </w:rPr>
              <w:t>over het maximum jaartarief van € 200.000,00. De zin “Deze tarieven</w:t>
            </w:r>
            <w:proofErr w:type="gramStart"/>
            <w:r>
              <w:rPr>
                <w:rFonts w:asciiTheme="minorHAnsi" w:hAnsiTheme="minorHAnsi"/>
                <w:sz w:val="20"/>
                <w:szCs w:val="20"/>
              </w:rPr>
              <w:t>..</w:t>
            </w:r>
            <w:proofErr w:type="gramEnd"/>
            <w:r>
              <w:rPr>
                <w:rFonts w:asciiTheme="minorHAnsi" w:hAnsiTheme="minorHAnsi"/>
                <w:sz w:val="20"/>
                <w:szCs w:val="20"/>
              </w:rPr>
              <w:t xml:space="preserve"> t/m mag uitkomen” moet vervangen worden door de tekstwijziging: “Deze tarieven worden toegepast met inachtneming van de bestaande inhuurregel dat de totale contractwaarde van inhuurcontracten niet boven de </w:t>
            </w:r>
            <w:r w:rsidRPr="00B73D6C">
              <w:rPr>
                <w:rFonts w:asciiTheme="minorHAnsi" w:hAnsiTheme="minorHAnsi"/>
                <w:sz w:val="20"/>
                <w:szCs w:val="20"/>
              </w:rPr>
              <w:t>Amsterdamse norm</w:t>
            </w:r>
            <w:r>
              <w:rPr>
                <w:rFonts w:asciiTheme="minorHAnsi" w:hAnsiTheme="minorHAnsi"/>
                <w:sz w:val="20"/>
                <w:szCs w:val="20"/>
              </w:rPr>
              <w:t xml:space="preserve"> van €178.000 mag uitkomen”. Bijbehorende voetnoot 1 mag komen te vervallen, want deze is niet meer relevant.</w:t>
            </w:r>
          </w:p>
          <w:p w14:paraId="070C0023" w14:textId="77777777" w:rsidR="00C40DC3" w:rsidRPr="00236D9E" w:rsidRDefault="00C40DC3" w:rsidP="00C40DC3">
            <w:pPr>
              <w:pStyle w:val="Lijstalinea"/>
              <w:numPr>
                <w:ilvl w:val="0"/>
                <w:numId w:val="5"/>
              </w:numPr>
              <w:spacing w:after="0" w:line="240" w:lineRule="auto"/>
              <w:rPr>
                <w:rFonts w:asciiTheme="minorHAnsi" w:hAnsiTheme="minorHAnsi"/>
                <w:sz w:val="20"/>
                <w:szCs w:val="20"/>
              </w:rPr>
            </w:pPr>
            <w:r w:rsidRPr="00D569A5">
              <w:rPr>
                <w:rFonts w:asciiTheme="minorHAnsi" w:hAnsiTheme="minorHAnsi"/>
                <w:sz w:val="20"/>
                <w:szCs w:val="20"/>
              </w:rPr>
              <w:t xml:space="preserve">Pagina 7, </w:t>
            </w:r>
            <w:proofErr w:type="spellStart"/>
            <w:r w:rsidRPr="00D569A5">
              <w:rPr>
                <w:rFonts w:asciiTheme="minorHAnsi" w:hAnsiTheme="minorHAnsi"/>
                <w:sz w:val="20"/>
                <w:szCs w:val="20"/>
              </w:rPr>
              <w:t>bullit</w:t>
            </w:r>
            <w:proofErr w:type="spellEnd"/>
            <w:r>
              <w:rPr>
                <w:rFonts w:asciiTheme="minorHAnsi" w:hAnsiTheme="minorHAnsi"/>
                <w:sz w:val="20"/>
                <w:szCs w:val="20"/>
              </w:rPr>
              <w:t xml:space="preserve"> 5. Het woord “Europese aanbestedingsgrens” dient te worden vervangen door “Amsterdamse norm van € 178.000”.</w:t>
            </w:r>
          </w:p>
          <w:p w14:paraId="726E00E0" w14:textId="77777777" w:rsidR="00C40DC3" w:rsidRDefault="00C40DC3" w:rsidP="00C40DC3">
            <w:pPr>
              <w:pStyle w:val="Lijstalinea"/>
              <w:numPr>
                <w:ilvl w:val="0"/>
                <w:numId w:val="5"/>
              </w:numPr>
              <w:spacing w:after="0" w:line="240" w:lineRule="auto"/>
              <w:rPr>
                <w:rFonts w:asciiTheme="minorHAnsi" w:hAnsiTheme="minorHAnsi"/>
                <w:sz w:val="20"/>
                <w:szCs w:val="20"/>
              </w:rPr>
            </w:pPr>
            <w:r w:rsidRPr="00D569A5">
              <w:rPr>
                <w:rFonts w:asciiTheme="minorHAnsi" w:hAnsiTheme="minorHAnsi"/>
                <w:sz w:val="20"/>
                <w:szCs w:val="20"/>
              </w:rPr>
              <w:t xml:space="preserve">Pagina 7, </w:t>
            </w:r>
            <w:proofErr w:type="spellStart"/>
            <w:r w:rsidRPr="00D569A5">
              <w:rPr>
                <w:rFonts w:asciiTheme="minorHAnsi" w:hAnsiTheme="minorHAnsi"/>
                <w:sz w:val="20"/>
                <w:szCs w:val="20"/>
              </w:rPr>
              <w:t>bullit</w:t>
            </w:r>
            <w:proofErr w:type="spellEnd"/>
            <w:r>
              <w:rPr>
                <w:rFonts w:asciiTheme="minorHAnsi" w:hAnsiTheme="minorHAnsi"/>
                <w:sz w:val="20"/>
                <w:szCs w:val="20"/>
              </w:rPr>
              <w:t xml:space="preserve"> 5. </w:t>
            </w:r>
            <w:r w:rsidRPr="00B73D6C">
              <w:rPr>
                <w:rFonts w:asciiTheme="minorHAnsi" w:hAnsiTheme="minorHAnsi"/>
                <w:sz w:val="20"/>
                <w:szCs w:val="20"/>
              </w:rPr>
              <w:t>Het bedrag dat hier wordt genoemd van €</w:t>
            </w:r>
            <w:r>
              <w:rPr>
                <w:rFonts w:asciiTheme="minorHAnsi" w:hAnsiTheme="minorHAnsi"/>
                <w:sz w:val="20"/>
                <w:szCs w:val="20"/>
              </w:rPr>
              <w:t xml:space="preserve">150,00 dient te worden gewijzigd </w:t>
            </w:r>
            <w:r w:rsidRPr="00B73D6C">
              <w:rPr>
                <w:rFonts w:asciiTheme="minorHAnsi" w:hAnsiTheme="minorHAnsi"/>
                <w:sz w:val="20"/>
                <w:szCs w:val="20"/>
              </w:rPr>
              <w:t>naar €125,00.</w:t>
            </w:r>
          </w:p>
          <w:p w14:paraId="01247A21" w14:textId="77777777" w:rsidR="00C40DC3" w:rsidRPr="00A475D4" w:rsidRDefault="00C40DC3" w:rsidP="00C40DC3">
            <w:pPr>
              <w:pStyle w:val="Lijstalinea"/>
              <w:numPr>
                <w:ilvl w:val="0"/>
                <w:numId w:val="5"/>
              </w:numPr>
              <w:spacing w:after="0" w:line="240" w:lineRule="auto"/>
              <w:rPr>
                <w:rFonts w:asciiTheme="minorHAnsi" w:hAnsiTheme="minorHAnsi"/>
                <w:sz w:val="20"/>
                <w:szCs w:val="20"/>
              </w:rPr>
            </w:pPr>
            <w:r w:rsidRPr="00D569A5">
              <w:rPr>
                <w:rFonts w:asciiTheme="minorHAnsi" w:hAnsiTheme="minorHAnsi"/>
                <w:sz w:val="20"/>
                <w:szCs w:val="20"/>
              </w:rPr>
              <w:t xml:space="preserve">Pagina 7, </w:t>
            </w:r>
            <w:proofErr w:type="spellStart"/>
            <w:r w:rsidRPr="00D569A5">
              <w:rPr>
                <w:rFonts w:asciiTheme="minorHAnsi" w:hAnsiTheme="minorHAnsi"/>
                <w:sz w:val="20"/>
                <w:szCs w:val="20"/>
              </w:rPr>
              <w:t>bullit</w:t>
            </w:r>
            <w:proofErr w:type="spellEnd"/>
            <w:r>
              <w:rPr>
                <w:rFonts w:asciiTheme="minorHAnsi" w:hAnsiTheme="minorHAnsi"/>
                <w:sz w:val="20"/>
                <w:szCs w:val="20"/>
              </w:rPr>
              <w:t xml:space="preserve"> 6. Het woord “Europese aanbestedingsgrens” dient te worden vervangen door “Amsterdamse norm van € 178.000”.</w:t>
            </w:r>
          </w:p>
          <w:p w14:paraId="6F6DF510" w14:textId="77777777" w:rsidR="00C40DC3" w:rsidRPr="00A16BCD" w:rsidRDefault="00C40DC3" w:rsidP="00C40DC3">
            <w:pPr>
              <w:pStyle w:val="Lijstalinea"/>
              <w:numPr>
                <w:ilvl w:val="0"/>
                <w:numId w:val="5"/>
              </w:numPr>
              <w:spacing w:after="0" w:line="240" w:lineRule="auto"/>
              <w:rPr>
                <w:rFonts w:asciiTheme="minorHAnsi" w:hAnsiTheme="minorHAnsi"/>
                <w:sz w:val="20"/>
                <w:szCs w:val="20"/>
              </w:rPr>
            </w:pPr>
            <w:r w:rsidRPr="00D569A5">
              <w:rPr>
                <w:rFonts w:asciiTheme="minorHAnsi" w:hAnsiTheme="minorHAnsi"/>
                <w:sz w:val="20"/>
                <w:szCs w:val="20"/>
              </w:rPr>
              <w:t xml:space="preserve">Pagina 7, </w:t>
            </w:r>
            <w:proofErr w:type="spellStart"/>
            <w:r w:rsidRPr="00D569A5">
              <w:rPr>
                <w:rFonts w:asciiTheme="minorHAnsi" w:hAnsiTheme="minorHAnsi"/>
                <w:sz w:val="20"/>
                <w:szCs w:val="20"/>
              </w:rPr>
              <w:t>bullit</w:t>
            </w:r>
            <w:proofErr w:type="spellEnd"/>
            <w:r>
              <w:rPr>
                <w:rFonts w:asciiTheme="minorHAnsi" w:hAnsiTheme="minorHAnsi"/>
                <w:sz w:val="20"/>
                <w:szCs w:val="20"/>
              </w:rPr>
              <w:t xml:space="preserve"> 7. Het woord “Europese aanbestedingsdrempel” dient te worden vervangen door “Amsterdamse norm van € 178.000”</w:t>
            </w:r>
          </w:p>
          <w:p w14:paraId="685F660A" w14:textId="77777777" w:rsidR="00C40DC3" w:rsidRDefault="00C40DC3" w:rsidP="00C40DC3">
            <w:pPr>
              <w:pStyle w:val="Lijstalinea"/>
              <w:numPr>
                <w:ilvl w:val="0"/>
                <w:numId w:val="5"/>
              </w:numPr>
              <w:spacing w:after="0" w:line="240" w:lineRule="auto"/>
              <w:rPr>
                <w:rFonts w:asciiTheme="minorHAnsi" w:hAnsiTheme="minorHAnsi"/>
                <w:sz w:val="20"/>
                <w:szCs w:val="20"/>
              </w:rPr>
            </w:pPr>
            <w:r w:rsidRPr="00D569A5">
              <w:rPr>
                <w:rFonts w:asciiTheme="minorHAnsi" w:hAnsiTheme="minorHAnsi"/>
                <w:sz w:val="20"/>
                <w:szCs w:val="20"/>
              </w:rPr>
              <w:t xml:space="preserve">Pagina 7, </w:t>
            </w:r>
            <w:proofErr w:type="spellStart"/>
            <w:r w:rsidRPr="00D569A5">
              <w:rPr>
                <w:rFonts w:asciiTheme="minorHAnsi" w:hAnsiTheme="minorHAnsi"/>
                <w:sz w:val="20"/>
                <w:szCs w:val="20"/>
              </w:rPr>
              <w:t>bullit</w:t>
            </w:r>
            <w:proofErr w:type="spellEnd"/>
            <w:r>
              <w:rPr>
                <w:rFonts w:asciiTheme="minorHAnsi" w:hAnsiTheme="minorHAnsi"/>
                <w:sz w:val="20"/>
                <w:szCs w:val="20"/>
              </w:rPr>
              <w:t xml:space="preserve"> 7. </w:t>
            </w:r>
            <w:r w:rsidRPr="00B73D6C">
              <w:rPr>
                <w:rFonts w:asciiTheme="minorHAnsi" w:hAnsiTheme="minorHAnsi"/>
                <w:sz w:val="20"/>
                <w:szCs w:val="20"/>
              </w:rPr>
              <w:t>Het bedrag dat hier wordt genoemd van €</w:t>
            </w:r>
            <w:r>
              <w:rPr>
                <w:rFonts w:asciiTheme="minorHAnsi" w:hAnsiTheme="minorHAnsi"/>
                <w:sz w:val="20"/>
                <w:szCs w:val="20"/>
              </w:rPr>
              <w:t xml:space="preserve">150,00 dient te worden gewijzigd </w:t>
            </w:r>
            <w:r w:rsidRPr="00B73D6C">
              <w:rPr>
                <w:rFonts w:asciiTheme="minorHAnsi" w:hAnsiTheme="minorHAnsi"/>
                <w:sz w:val="20"/>
                <w:szCs w:val="20"/>
              </w:rPr>
              <w:t>naar €125,00.</w:t>
            </w:r>
          </w:p>
          <w:p w14:paraId="0FEDAE86" w14:textId="7589B3F3" w:rsidR="00C40DC3" w:rsidRPr="00C40DC3" w:rsidRDefault="00C40DC3" w:rsidP="00C40DC3">
            <w:pPr>
              <w:pStyle w:val="Lijstalinea"/>
              <w:numPr>
                <w:ilvl w:val="0"/>
                <w:numId w:val="5"/>
              </w:numPr>
              <w:spacing w:after="0" w:line="240" w:lineRule="auto"/>
              <w:rPr>
                <w:rFonts w:asciiTheme="minorHAnsi" w:hAnsiTheme="minorHAnsi"/>
                <w:sz w:val="20"/>
                <w:szCs w:val="20"/>
              </w:rPr>
            </w:pPr>
            <w:r>
              <w:rPr>
                <w:rFonts w:asciiTheme="minorHAnsi" w:hAnsiTheme="minorHAnsi"/>
                <w:sz w:val="20"/>
                <w:szCs w:val="20"/>
              </w:rPr>
              <w:t xml:space="preserve">Op pagina 14, paragraaf h. kopje “Instemming directeur dienst”. Het woord “Europese aanbestedingsgrens” dient te worden vervangen door “Amsterdamse norm van </w:t>
            </w:r>
            <w:r w:rsidRPr="00C40DC3">
              <w:rPr>
                <w:rFonts w:asciiTheme="minorHAnsi" w:hAnsiTheme="minorHAnsi"/>
                <w:sz w:val="20"/>
                <w:szCs w:val="20"/>
              </w:rPr>
              <w:t>€ 178.000”. Het uurtarief dat hier genoemd wordt van “€150,00” dient te worden vervangen door “€125,00”. In de laatste zin “Boven de Europese aanbestedingsdrempel</w:t>
            </w:r>
            <w:proofErr w:type="gramStart"/>
            <w:r w:rsidRPr="00C40DC3">
              <w:rPr>
                <w:rFonts w:asciiTheme="minorHAnsi" w:hAnsiTheme="minorHAnsi"/>
                <w:sz w:val="20"/>
                <w:szCs w:val="20"/>
              </w:rPr>
              <w:t>..</w:t>
            </w:r>
            <w:proofErr w:type="gramEnd"/>
            <w:r w:rsidRPr="00C40DC3">
              <w:rPr>
                <w:rFonts w:asciiTheme="minorHAnsi" w:hAnsiTheme="minorHAnsi"/>
                <w:sz w:val="20"/>
                <w:szCs w:val="20"/>
              </w:rPr>
              <w:t xml:space="preserve"> t/m…het college”, dienen de woorden “Europese aanbestedingsdrempel” te worden vervangen door “Amsterdamse norm van € 178.000,00”.</w:t>
            </w:r>
          </w:p>
          <w:p w14:paraId="7A46A0BB" w14:textId="7AC66FA3" w:rsidR="008527A3" w:rsidRPr="00C40DC3" w:rsidRDefault="00C40DC3" w:rsidP="00C40DC3">
            <w:pPr>
              <w:pStyle w:val="Lijstalinea"/>
              <w:numPr>
                <w:ilvl w:val="0"/>
                <w:numId w:val="5"/>
              </w:numPr>
              <w:spacing w:after="0" w:line="240" w:lineRule="auto"/>
              <w:rPr>
                <w:rFonts w:asciiTheme="minorHAnsi" w:hAnsiTheme="minorHAnsi"/>
                <w:sz w:val="20"/>
                <w:szCs w:val="20"/>
              </w:rPr>
            </w:pPr>
            <w:r>
              <w:rPr>
                <w:rFonts w:asciiTheme="minorHAnsi" w:hAnsiTheme="minorHAnsi"/>
                <w:sz w:val="20"/>
                <w:szCs w:val="20"/>
              </w:rPr>
              <w:t xml:space="preserve">Op pagina 14, paragraaf i. kopje “Instemming </w:t>
            </w:r>
            <w:proofErr w:type="spellStart"/>
            <w:r>
              <w:rPr>
                <w:rFonts w:asciiTheme="minorHAnsi" w:hAnsiTheme="minorHAnsi"/>
                <w:sz w:val="20"/>
                <w:szCs w:val="20"/>
              </w:rPr>
              <w:t>vakwethouder</w:t>
            </w:r>
            <w:proofErr w:type="spellEnd"/>
            <w:r>
              <w:rPr>
                <w:rFonts w:asciiTheme="minorHAnsi" w:hAnsiTheme="minorHAnsi"/>
                <w:sz w:val="20"/>
                <w:szCs w:val="20"/>
              </w:rPr>
              <w:t xml:space="preserve"> en college”. Het woord “Europese aanbestedingsgrens” dient te worden vervangen door “Amsterdamse norm van </w:t>
            </w:r>
            <w:r w:rsidRPr="00FE0EB7">
              <w:rPr>
                <w:rFonts w:asciiTheme="minorHAnsi" w:hAnsiTheme="minorHAnsi"/>
                <w:sz w:val="20"/>
                <w:szCs w:val="20"/>
              </w:rPr>
              <w:t>€ 178.000”.</w:t>
            </w:r>
          </w:p>
          <w:p w14:paraId="3F696042" w14:textId="02C9D4E0" w:rsidR="002D78DA" w:rsidRPr="00FA3095" w:rsidRDefault="002D78DA" w:rsidP="00C40DC3">
            <w:pPr>
              <w:pStyle w:val="Lijstalinea"/>
              <w:numPr>
                <w:ilvl w:val="0"/>
                <w:numId w:val="5"/>
              </w:numPr>
              <w:spacing w:after="0" w:line="240" w:lineRule="auto"/>
              <w:rPr>
                <w:rFonts w:asciiTheme="minorHAnsi" w:hAnsiTheme="minorHAnsi"/>
                <w:sz w:val="20"/>
                <w:szCs w:val="20"/>
              </w:rPr>
            </w:pPr>
            <w:r w:rsidRPr="00FA3095">
              <w:rPr>
                <w:rFonts w:cs="Arial"/>
                <w:sz w:val="20"/>
                <w:szCs w:val="20"/>
              </w:rPr>
              <w:t>kennis te nemen van de bestuurlijke reactie op genoemd initiatiefvoorstel.</w:t>
            </w:r>
          </w:p>
          <w:p w14:paraId="489E9C78" w14:textId="77777777" w:rsidR="008942F2" w:rsidRPr="00CE5D7A" w:rsidRDefault="008942F2">
            <w:pPr>
              <w:widowControl w:val="0"/>
              <w:tabs>
                <w:tab w:val="left" w:pos="284"/>
              </w:tabs>
              <w:rPr>
                <w:rFonts w:ascii="Calibri" w:hAnsi="Calibri" w:cs="Arial"/>
                <w:sz w:val="20"/>
                <w:szCs w:val="20"/>
              </w:rPr>
            </w:pPr>
          </w:p>
        </w:tc>
      </w:tr>
    </w:tbl>
    <w:p w14:paraId="09951D28" w14:textId="46DB0D2A" w:rsidR="008942F2" w:rsidRPr="00CE5D7A" w:rsidRDefault="008942F2">
      <w:pPr>
        <w:rPr>
          <w:rFonts w:ascii="Calibri" w:hAnsi="Calibri" w:cs="Arial"/>
          <w:b/>
          <w:sz w:val="20"/>
          <w:szCs w:val="20"/>
        </w:rPr>
      </w:pPr>
    </w:p>
    <w:tbl>
      <w:tblPr>
        <w:tblW w:w="0" w:type="auto"/>
        <w:tblBorders>
          <w:top w:val="single" w:sz="18" w:space="0" w:color="auto"/>
        </w:tblBorders>
        <w:tblLayout w:type="fixed"/>
        <w:tblCellMar>
          <w:left w:w="0" w:type="dxa"/>
          <w:right w:w="0" w:type="dxa"/>
        </w:tblCellMar>
        <w:tblLook w:val="0000" w:firstRow="0" w:lastRow="0" w:firstColumn="0" w:lastColumn="0" w:noHBand="0" w:noVBand="0"/>
      </w:tblPr>
      <w:tblGrid>
        <w:gridCol w:w="7993"/>
      </w:tblGrid>
      <w:tr w:rsidR="008942F2" w:rsidRPr="00CE5D7A" w14:paraId="773F07B4" w14:textId="77777777">
        <w:trPr>
          <w:trHeight w:hRule="exact" w:val="397"/>
        </w:trPr>
        <w:tc>
          <w:tcPr>
            <w:tcW w:w="7993" w:type="dxa"/>
          </w:tcPr>
          <w:p w14:paraId="388C3E4E" w14:textId="77777777" w:rsidR="008942F2" w:rsidRPr="00CE5D7A" w:rsidRDefault="008942F2">
            <w:pPr>
              <w:pStyle w:val="Kopmetlijn"/>
              <w:widowControl w:val="0"/>
              <w:spacing w:line="270" w:lineRule="exact"/>
              <w:rPr>
                <w:rFonts w:ascii="Calibri" w:hAnsi="Calibri" w:cs="Arial"/>
                <w:sz w:val="20"/>
                <w:szCs w:val="20"/>
              </w:rPr>
            </w:pPr>
            <w:r w:rsidRPr="00CE5D7A">
              <w:rPr>
                <w:rFonts w:ascii="Calibri" w:hAnsi="Calibri" w:cs="Arial"/>
                <w:sz w:val="20"/>
                <w:szCs w:val="20"/>
              </w:rPr>
              <w:t>Wettelijke grondslag</w:t>
            </w:r>
          </w:p>
        </w:tc>
      </w:tr>
      <w:tr w:rsidR="008942F2" w:rsidRPr="00CE5D7A" w14:paraId="4AC7BBA3" w14:textId="77777777">
        <w:trPr>
          <w:trHeight w:hRule="exact" w:val="20"/>
        </w:trPr>
        <w:tc>
          <w:tcPr>
            <w:tcW w:w="7993" w:type="dxa"/>
          </w:tcPr>
          <w:p w14:paraId="48178EA2" w14:textId="77777777" w:rsidR="008942F2" w:rsidRPr="00CE5D7A" w:rsidRDefault="008942F2">
            <w:pPr>
              <w:pStyle w:val="Koptekst"/>
              <w:widowControl w:val="0"/>
              <w:tabs>
                <w:tab w:val="clear" w:pos="4153"/>
                <w:tab w:val="clear" w:pos="8306"/>
              </w:tabs>
              <w:spacing w:line="270" w:lineRule="exact"/>
              <w:rPr>
                <w:rFonts w:ascii="Calibri" w:hAnsi="Calibri" w:cs="Arial"/>
                <w:sz w:val="20"/>
                <w:szCs w:val="20"/>
              </w:rPr>
            </w:pPr>
          </w:p>
        </w:tc>
      </w:tr>
      <w:tr w:rsidR="008942F2" w:rsidRPr="00CE5D7A" w14:paraId="2FB9F7A2" w14:textId="77777777">
        <w:tc>
          <w:tcPr>
            <w:tcW w:w="7993" w:type="dxa"/>
          </w:tcPr>
          <w:p w14:paraId="6B762D6F" w14:textId="77777777" w:rsidR="008942F2" w:rsidRPr="00CE5D7A" w:rsidRDefault="002D78DA">
            <w:pPr>
              <w:pStyle w:val="Koptekst"/>
              <w:widowControl w:val="0"/>
              <w:tabs>
                <w:tab w:val="clear" w:pos="4153"/>
                <w:tab w:val="clear" w:pos="8306"/>
              </w:tabs>
              <w:spacing w:line="270" w:lineRule="exact"/>
              <w:rPr>
                <w:rFonts w:ascii="Calibri" w:hAnsi="Calibri" w:cs="Arial"/>
                <w:sz w:val="20"/>
                <w:szCs w:val="20"/>
              </w:rPr>
            </w:pPr>
            <w:r w:rsidRPr="00CE5D7A">
              <w:rPr>
                <w:rFonts w:ascii="Calibri" w:hAnsi="Calibri" w:cs="Arial"/>
                <w:sz w:val="20"/>
                <w:szCs w:val="20"/>
              </w:rPr>
              <w:t>Gemeentewet art. 147a, lid 1</w:t>
            </w:r>
          </w:p>
        </w:tc>
      </w:tr>
    </w:tbl>
    <w:p w14:paraId="0C5DC285" w14:textId="77777777" w:rsidR="008942F2" w:rsidRPr="00CE5D7A" w:rsidRDefault="008942F2">
      <w:pPr>
        <w:rPr>
          <w:rFonts w:ascii="Calibri" w:hAnsi="Calibri" w:cs="Arial"/>
          <w:sz w:val="20"/>
          <w:szCs w:val="20"/>
        </w:rPr>
      </w:pPr>
    </w:p>
    <w:tbl>
      <w:tblPr>
        <w:tblW w:w="0" w:type="auto"/>
        <w:tblBorders>
          <w:top w:val="single" w:sz="18" w:space="0" w:color="auto"/>
        </w:tblBorders>
        <w:tblCellMar>
          <w:left w:w="0" w:type="dxa"/>
          <w:right w:w="0" w:type="dxa"/>
        </w:tblCellMar>
        <w:tblLook w:val="0000" w:firstRow="0" w:lastRow="0" w:firstColumn="0" w:lastColumn="0" w:noHBand="0" w:noVBand="0"/>
      </w:tblPr>
      <w:tblGrid>
        <w:gridCol w:w="7993"/>
      </w:tblGrid>
      <w:tr w:rsidR="008942F2" w:rsidRPr="00CE5D7A" w14:paraId="785BBC95" w14:textId="77777777" w:rsidTr="006F130C">
        <w:trPr>
          <w:trHeight w:hRule="exact" w:val="397"/>
        </w:trPr>
        <w:tc>
          <w:tcPr>
            <w:tcW w:w="7993" w:type="dxa"/>
          </w:tcPr>
          <w:p w14:paraId="03FC126E" w14:textId="77777777" w:rsidR="008942F2" w:rsidRPr="00CE5D7A" w:rsidRDefault="002D78DA">
            <w:pPr>
              <w:pStyle w:val="Kopmetlijn"/>
              <w:widowControl w:val="0"/>
              <w:spacing w:line="270" w:lineRule="exact"/>
              <w:rPr>
                <w:rFonts w:ascii="Calibri" w:hAnsi="Calibri" w:cs="Arial"/>
                <w:sz w:val="20"/>
                <w:szCs w:val="20"/>
              </w:rPr>
            </w:pPr>
            <w:r w:rsidRPr="00CE5D7A">
              <w:rPr>
                <w:rFonts w:ascii="Calibri" w:hAnsi="Calibri" w:cs="Arial"/>
                <w:sz w:val="20"/>
                <w:szCs w:val="20"/>
              </w:rPr>
              <w:t>Initiatiefvoorstel</w:t>
            </w:r>
          </w:p>
        </w:tc>
      </w:tr>
      <w:tr w:rsidR="008942F2" w:rsidRPr="00CE5D7A" w14:paraId="2FDE3538" w14:textId="77777777" w:rsidTr="006F130C">
        <w:trPr>
          <w:trHeight w:hRule="exact" w:val="20"/>
        </w:trPr>
        <w:tc>
          <w:tcPr>
            <w:tcW w:w="7993" w:type="dxa"/>
          </w:tcPr>
          <w:p w14:paraId="725E89ED" w14:textId="77777777" w:rsidR="008942F2" w:rsidRPr="00CE5D7A" w:rsidRDefault="008942F2">
            <w:pPr>
              <w:pStyle w:val="Koptekst"/>
              <w:widowControl w:val="0"/>
              <w:tabs>
                <w:tab w:val="clear" w:pos="4153"/>
                <w:tab w:val="clear" w:pos="8306"/>
              </w:tabs>
              <w:spacing w:line="270" w:lineRule="exact"/>
              <w:rPr>
                <w:rFonts w:ascii="Calibri" w:hAnsi="Calibri" w:cs="Arial"/>
                <w:sz w:val="20"/>
                <w:szCs w:val="20"/>
              </w:rPr>
            </w:pPr>
          </w:p>
        </w:tc>
      </w:tr>
      <w:tr w:rsidR="002D78DA" w:rsidRPr="00CE5D7A" w14:paraId="124275F8" w14:textId="77777777" w:rsidTr="006F130C">
        <w:tc>
          <w:tcPr>
            <w:tcW w:w="7993" w:type="dxa"/>
          </w:tcPr>
          <w:p w14:paraId="7AAC8360" w14:textId="4DD347D5" w:rsidR="0012125F" w:rsidRPr="00031B29" w:rsidRDefault="0012125F" w:rsidP="0012125F">
            <w:pPr>
              <w:rPr>
                <w:rFonts w:ascii="Calibri" w:hAnsi="Calibri"/>
                <w:b/>
                <w:sz w:val="20"/>
                <w:szCs w:val="20"/>
              </w:rPr>
            </w:pPr>
            <w:r w:rsidRPr="00031B29">
              <w:rPr>
                <w:rFonts w:ascii="Calibri" w:hAnsi="Calibri"/>
                <w:b/>
                <w:sz w:val="20"/>
                <w:szCs w:val="20"/>
              </w:rPr>
              <w:t>Samenvatting</w:t>
            </w:r>
          </w:p>
          <w:p w14:paraId="4738F881" w14:textId="51779CEA" w:rsidR="0012125F" w:rsidRDefault="0012125F" w:rsidP="0012125F">
            <w:pPr>
              <w:rPr>
                <w:rFonts w:ascii="Calibri" w:hAnsi="Calibri"/>
                <w:sz w:val="20"/>
                <w:szCs w:val="20"/>
              </w:rPr>
            </w:pPr>
            <w:r>
              <w:rPr>
                <w:rFonts w:ascii="Calibri" w:hAnsi="Calibri"/>
                <w:sz w:val="20"/>
                <w:szCs w:val="20"/>
              </w:rPr>
              <w:t>In dit initiatiefvoorstel betoogt de indiener om de Wet Normering Topinkomens</w:t>
            </w:r>
            <w:r w:rsidR="00C51023">
              <w:rPr>
                <w:rFonts w:ascii="Calibri" w:hAnsi="Calibri"/>
                <w:sz w:val="20"/>
                <w:szCs w:val="20"/>
              </w:rPr>
              <w:t xml:space="preserve"> </w:t>
            </w:r>
            <w:r>
              <w:rPr>
                <w:rFonts w:ascii="Calibri" w:hAnsi="Calibri"/>
                <w:sz w:val="20"/>
                <w:szCs w:val="20"/>
              </w:rPr>
              <w:t>2, die vanaf 1 januari 2015 in werking treedt en waarin de salarissen voor werknemers in de publieke en semi-publieke sector worden begrensd op het niveau van een ministersalaris, ook te laten gelden</w:t>
            </w:r>
            <w:r w:rsidR="00964DD5">
              <w:rPr>
                <w:rFonts w:ascii="Calibri" w:hAnsi="Calibri"/>
                <w:sz w:val="20"/>
                <w:szCs w:val="20"/>
              </w:rPr>
              <w:t xml:space="preserve"> als maximale nor</w:t>
            </w:r>
            <w:r w:rsidR="00E12E6A">
              <w:rPr>
                <w:rFonts w:ascii="Calibri" w:hAnsi="Calibri"/>
                <w:sz w:val="20"/>
                <w:szCs w:val="20"/>
              </w:rPr>
              <w:t>m</w:t>
            </w:r>
            <w:r>
              <w:rPr>
                <w:rFonts w:ascii="Calibri" w:hAnsi="Calibri"/>
                <w:sz w:val="20"/>
                <w:szCs w:val="20"/>
              </w:rPr>
              <w:t xml:space="preserve"> voor extern ingehuurde werknemers van de Gemeente Amsterdam. Hiervoor zal de Gedragsnorm Externe Inhuur </w:t>
            </w:r>
            <w:r w:rsidR="00AE03E6">
              <w:rPr>
                <w:rFonts w:ascii="Calibri" w:hAnsi="Calibri"/>
                <w:sz w:val="20"/>
                <w:szCs w:val="20"/>
              </w:rPr>
              <w:t xml:space="preserve">(vastgesteld door B&amp;W 2-juli 2013) </w:t>
            </w:r>
            <w:r>
              <w:rPr>
                <w:rFonts w:ascii="Calibri" w:hAnsi="Calibri"/>
                <w:sz w:val="20"/>
                <w:szCs w:val="20"/>
              </w:rPr>
              <w:t xml:space="preserve">moeten worden aangepast. </w:t>
            </w:r>
          </w:p>
          <w:p w14:paraId="6FA245CD" w14:textId="77777777" w:rsidR="0012125F" w:rsidRDefault="0012125F" w:rsidP="0012125F">
            <w:pPr>
              <w:rPr>
                <w:rFonts w:ascii="Calibri" w:hAnsi="Calibri"/>
                <w:sz w:val="20"/>
                <w:szCs w:val="20"/>
              </w:rPr>
            </w:pPr>
          </w:p>
          <w:p w14:paraId="3F5CBA9D" w14:textId="77777777" w:rsidR="0012125F" w:rsidRPr="00031B29" w:rsidRDefault="0012125F" w:rsidP="0012125F">
            <w:pPr>
              <w:rPr>
                <w:rFonts w:ascii="Calibri" w:hAnsi="Calibri"/>
                <w:b/>
                <w:sz w:val="20"/>
                <w:szCs w:val="20"/>
              </w:rPr>
            </w:pPr>
            <w:r>
              <w:rPr>
                <w:rFonts w:ascii="Calibri" w:hAnsi="Calibri"/>
                <w:b/>
                <w:sz w:val="20"/>
                <w:szCs w:val="20"/>
              </w:rPr>
              <w:t>Inleiding</w:t>
            </w:r>
          </w:p>
          <w:p w14:paraId="636FFDA9" w14:textId="77777777" w:rsidR="0012125F" w:rsidRDefault="0012125F" w:rsidP="0012125F">
            <w:pPr>
              <w:rPr>
                <w:rFonts w:ascii="Calibri" w:hAnsi="Calibri"/>
                <w:sz w:val="20"/>
                <w:szCs w:val="20"/>
              </w:rPr>
            </w:pPr>
            <w:r>
              <w:rPr>
                <w:rFonts w:ascii="Calibri" w:hAnsi="Calibri"/>
                <w:sz w:val="20"/>
                <w:szCs w:val="20"/>
              </w:rPr>
              <w:t>Het leek een ijzeren wet in de (semi) publieke sector; torenhoge salarissen met riante bonussen voor de topfunctionarissen. Marktconforme beloning was het toverwoord, met argumenten dat dit noodzakelijk was om toptalent binnenboord te houden en internationaal te kunnen concurreren.</w:t>
            </w:r>
          </w:p>
          <w:p w14:paraId="5A633A6C" w14:textId="77777777" w:rsidR="0012125F" w:rsidRDefault="0012125F" w:rsidP="0012125F">
            <w:pPr>
              <w:rPr>
                <w:rFonts w:ascii="Calibri" w:hAnsi="Calibri"/>
                <w:sz w:val="20"/>
                <w:szCs w:val="20"/>
              </w:rPr>
            </w:pPr>
          </w:p>
          <w:p w14:paraId="2BC52F02" w14:textId="77777777" w:rsidR="0012125F" w:rsidRDefault="0012125F" w:rsidP="0012125F">
            <w:pPr>
              <w:rPr>
                <w:rFonts w:ascii="Calibri" w:hAnsi="Calibri"/>
                <w:sz w:val="20"/>
                <w:szCs w:val="20"/>
              </w:rPr>
            </w:pPr>
            <w:r>
              <w:rPr>
                <w:rFonts w:ascii="Calibri" w:hAnsi="Calibri"/>
                <w:sz w:val="20"/>
                <w:szCs w:val="20"/>
              </w:rPr>
              <w:t xml:space="preserve">De afgelopen jaren maakte Nederland soms op een onaangename manier kennis met toptalent in de (semi)publieke sector; misstanden in de corporatiesector en veel te hoge salarissen in de zorgsector. De discussie over topinkomens in de (semi) publieke sector is al jaren aan de gang en raakt een gevoelige snaar in de maatschappelijke discussie over de verdeling van rijkdom. </w:t>
            </w:r>
          </w:p>
          <w:p w14:paraId="46A9172C" w14:textId="77777777" w:rsidR="0012125F" w:rsidRDefault="0012125F" w:rsidP="0012125F">
            <w:pPr>
              <w:rPr>
                <w:rFonts w:ascii="Calibri" w:hAnsi="Calibri"/>
                <w:sz w:val="20"/>
                <w:szCs w:val="20"/>
              </w:rPr>
            </w:pPr>
          </w:p>
          <w:p w14:paraId="5A549F2D" w14:textId="77777777" w:rsidR="00E12E6A" w:rsidRDefault="0012125F" w:rsidP="0012125F">
            <w:pPr>
              <w:rPr>
                <w:rFonts w:ascii="Calibri" w:hAnsi="Calibri"/>
                <w:sz w:val="20"/>
                <w:szCs w:val="20"/>
              </w:rPr>
            </w:pPr>
            <w:r>
              <w:rPr>
                <w:rFonts w:ascii="Calibri" w:hAnsi="Calibri"/>
                <w:sz w:val="20"/>
                <w:szCs w:val="20"/>
              </w:rPr>
              <w:t>Om de cultuur van topinkomens in de (semi) publieke sector te doorbreken heeft de Kamer in 2012 de Wet Normering Topinkomens aangenomen (volledige naam: N</w:t>
            </w:r>
            <w:r w:rsidRPr="00FE0A4A">
              <w:rPr>
                <w:rFonts w:ascii="Calibri" w:hAnsi="Calibri"/>
                <w:sz w:val="20"/>
                <w:szCs w:val="20"/>
              </w:rPr>
              <w:t>ormering bezoldiging topfunctionarissen publieke en semipublieke sector</w:t>
            </w:r>
            <w:r w:rsidR="00C51023">
              <w:rPr>
                <w:rFonts w:ascii="Calibri" w:hAnsi="Calibri"/>
                <w:sz w:val="20"/>
                <w:szCs w:val="20"/>
              </w:rPr>
              <w:t>, hierna WNT</w:t>
            </w:r>
            <w:r w:rsidRPr="00FE0A4A">
              <w:rPr>
                <w:rFonts w:ascii="Calibri" w:hAnsi="Calibri"/>
                <w:sz w:val="20"/>
                <w:szCs w:val="20"/>
              </w:rPr>
              <w:t>)</w:t>
            </w:r>
            <w:r>
              <w:rPr>
                <w:rFonts w:ascii="Calibri" w:hAnsi="Calibri"/>
                <w:sz w:val="20"/>
                <w:szCs w:val="20"/>
              </w:rPr>
              <w:t xml:space="preserve">. Hierin werd het inkomen van topfunctionarissen in de (semi) publieke sector vastgesteld op 130% van het ministersalaris; </w:t>
            </w:r>
          </w:p>
          <w:p w14:paraId="5FEADCB5" w14:textId="7B6B5A0F" w:rsidR="0012125F" w:rsidRDefault="0012125F" w:rsidP="0012125F">
            <w:pPr>
              <w:rPr>
                <w:rFonts w:ascii="Calibri" w:hAnsi="Calibri"/>
                <w:sz w:val="20"/>
                <w:szCs w:val="20"/>
              </w:rPr>
            </w:pPr>
            <w:r>
              <w:rPr>
                <w:rFonts w:ascii="Calibri" w:hAnsi="Calibri"/>
                <w:sz w:val="20"/>
                <w:szCs w:val="20"/>
              </w:rPr>
              <w:t>€ 228.559, waarvan € 187.340 aan salaris, €8</w:t>
            </w:r>
            <w:r w:rsidR="00E82D76">
              <w:rPr>
                <w:rFonts w:ascii="Calibri" w:hAnsi="Calibri"/>
                <w:sz w:val="20"/>
                <w:szCs w:val="20"/>
              </w:rPr>
              <w:t>.</w:t>
            </w:r>
            <w:r>
              <w:rPr>
                <w:rFonts w:ascii="Calibri" w:hAnsi="Calibri"/>
                <w:sz w:val="20"/>
                <w:szCs w:val="20"/>
              </w:rPr>
              <w:t xml:space="preserve">069 aan onkostenvergoeding en € 33.190 aan pensioenopbouw. Ondanks een kort geding van de Vereniging van Bestuurders in de Zorg ging de wet in januari 2013 in werking en werd een serieuze stap gezet naar de normalisering van de beloning in de (semi) publieke sector. </w:t>
            </w:r>
          </w:p>
          <w:p w14:paraId="5021F0E8" w14:textId="77777777" w:rsidR="0012125F" w:rsidRDefault="0012125F" w:rsidP="0012125F">
            <w:pPr>
              <w:rPr>
                <w:rFonts w:ascii="Calibri" w:hAnsi="Calibri"/>
                <w:sz w:val="20"/>
                <w:szCs w:val="20"/>
              </w:rPr>
            </w:pPr>
          </w:p>
          <w:p w14:paraId="4123D65D" w14:textId="77777777" w:rsidR="0012125F" w:rsidRPr="00031B29" w:rsidRDefault="0012125F" w:rsidP="0012125F">
            <w:pPr>
              <w:rPr>
                <w:rFonts w:ascii="Calibri" w:hAnsi="Calibri"/>
                <w:b/>
                <w:sz w:val="20"/>
                <w:szCs w:val="20"/>
              </w:rPr>
            </w:pPr>
            <w:r w:rsidRPr="00031B29">
              <w:rPr>
                <w:rFonts w:ascii="Calibri" w:hAnsi="Calibri"/>
                <w:b/>
                <w:sz w:val="20"/>
                <w:szCs w:val="20"/>
              </w:rPr>
              <w:t>Een publieke sector in dienst van het publieke goed</w:t>
            </w:r>
          </w:p>
          <w:p w14:paraId="16E37EB6" w14:textId="77777777" w:rsidR="0012125F" w:rsidRDefault="0012125F" w:rsidP="0012125F">
            <w:pPr>
              <w:rPr>
                <w:rFonts w:ascii="Calibri" w:hAnsi="Calibri"/>
                <w:sz w:val="20"/>
                <w:szCs w:val="20"/>
              </w:rPr>
            </w:pPr>
            <w:r>
              <w:rPr>
                <w:rFonts w:ascii="Calibri" w:hAnsi="Calibri"/>
                <w:sz w:val="20"/>
                <w:szCs w:val="20"/>
              </w:rPr>
              <w:t xml:space="preserve">Het Van Waarde essay, van de Wiardi Beckman stichting, constateerde een publieke sector waar de verkeerde belangen prevaleerde. Zij vroegen zich af hoe het publieke domein terug in handen kan komen van het publiek. Het antwoord is complex en laat zich schetsen als een lange weg met veel hobbels en die stapsgewijs wordt afgelegd. Als politiek zullen we moeten bouwen aan, en het bewaken van een publieke sector die in dienst staat van het publieke belang. Dit voorstel richt zich op de beloningskant van de publieke sector, en het complementeert eerdere voorstellen die PvdA en andere partijen op dit gebied in Amsterdam gedaan hebben. </w:t>
            </w:r>
          </w:p>
          <w:p w14:paraId="3080C630" w14:textId="77777777" w:rsidR="0012125F" w:rsidRDefault="0012125F" w:rsidP="0012125F">
            <w:pPr>
              <w:rPr>
                <w:rFonts w:ascii="Calibri" w:hAnsi="Calibri"/>
                <w:sz w:val="20"/>
                <w:szCs w:val="20"/>
              </w:rPr>
            </w:pPr>
          </w:p>
          <w:p w14:paraId="573FF082" w14:textId="77777777" w:rsidR="0012125F" w:rsidRPr="00A16303" w:rsidRDefault="0012125F" w:rsidP="0012125F">
            <w:pPr>
              <w:rPr>
                <w:rFonts w:ascii="Calibri" w:hAnsi="Calibri"/>
                <w:sz w:val="20"/>
                <w:szCs w:val="20"/>
              </w:rPr>
            </w:pPr>
            <w:r>
              <w:rPr>
                <w:rFonts w:ascii="Calibri" w:hAnsi="Calibri"/>
                <w:sz w:val="20"/>
                <w:szCs w:val="20"/>
              </w:rPr>
              <w:t>Zo heeft de PvdA en andere fracties voorstellen gedaan om exorbitante salarissen, vertrekregelingen en andere vormen van beloning aan banden te leggen. In het verkiezingsprogramma voor de gemeenteraadsverkiezingen pleitte de PvdA voor een zogenaamde ‘Burgemeestersnorm’ voor gesubsidieerde instellingen.</w:t>
            </w:r>
            <w:r>
              <w:rPr>
                <w:rStyle w:val="Voetnootmarkering"/>
                <w:rFonts w:ascii="Calibri" w:hAnsi="Calibri"/>
                <w:sz w:val="20"/>
                <w:szCs w:val="20"/>
              </w:rPr>
              <w:footnoteReference w:id="1"/>
            </w:r>
            <w:r w:rsidR="00904B69">
              <w:rPr>
                <w:rFonts w:ascii="Calibri" w:hAnsi="Calibri"/>
                <w:sz w:val="20"/>
                <w:szCs w:val="20"/>
              </w:rPr>
              <w:t xml:space="preserve"> SP Amsterdam stelde afgelopen winter soortgelijke plannen voor. En in de Amsterdamse zorg worden de hoge salarissen nu begrensd en afgebouwd, dankzij SP, PvdA en GroenLinks. </w:t>
            </w:r>
          </w:p>
          <w:p w14:paraId="4AFA9998" w14:textId="77777777" w:rsidR="0012125F" w:rsidRDefault="0012125F" w:rsidP="0012125F">
            <w:pPr>
              <w:rPr>
                <w:rFonts w:ascii="Calibri" w:hAnsi="Calibri"/>
                <w:sz w:val="20"/>
                <w:szCs w:val="20"/>
              </w:rPr>
            </w:pPr>
          </w:p>
          <w:p w14:paraId="0AE34B6A" w14:textId="0D6EDA72" w:rsidR="0012125F" w:rsidRPr="003B5259" w:rsidRDefault="0012125F" w:rsidP="0012125F">
            <w:pPr>
              <w:rPr>
                <w:rFonts w:ascii="Calibri" w:hAnsi="Calibri"/>
                <w:b/>
                <w:sz w:val="20"/>
                <w:szCs w:val="20"/>
              </w:rPr>
            </w:pPr>
            <w:r>
              <w:rPr>
                <w:rFonts w:ascii="Calibri" w:hAnsi="Calibri"/>
                <w:b/>
                <w:sz w:val="20"/>
                <w:szCs w:val="20"/>
              </w:rPr>
              <w:t>W</w:t>
            </w:r>
            <w:r w:rsidR="00786036">
              <w:rPr>
                <w:rFonts w:ascii="Calibri" w:hAnsi="Calibri"/>
                <w:b/>
                <w:sz w:val="20"/>
                <w:szCs w:val="20"/>
              </w:rPr>
              <w:t>et Normering T</w:t>
            </w:r>
            <w:r w:rsidRPr="003B5259">
              <w:rPr>
                <w:rFonts w:ascii="Calibri" w:hAnsi="Calibri"/>
                <w:b/>
                <w:sz w:val="20"/>
                <w:szCs w:val="20"/>
              </w:rPr>
              <w:t>opinkomens 1 en 2</w:t>
            </w:r>
          </w:p>
          <w:p w14:paraId="4CD0EA43" w14:textId="1265B83F" w:rsidR="0012125F" w:rsidRDefault="0012125F" w:rsidP="0012125F">
            <w:pPr>
              <w:rPr>
                <w:rFonts w:ascii="Calibri" w:hAnsi="Calibri"/>
                <w:sz w:val="20"/>
                <w:szCs w:val="20"/>
              </w:rPr>
            </w:pPr>
            <w:r>
              <w:rPr>
                <w:rFonts w:ascii="Calibri" w:hAnsi="Calibri"/>
                <w:sz w:val="20"/>
                <w:szCs w:val="20"/>
              </w:rPr>
              <w:t>Zoals hierboven beschreven heeft de Kamer in 2012 ingestemd met de Wet Normering Topin</w:t>
            </w:r>
            <w:r w:rsidR="00C51023">
              <w:rPr>
                <w:rFonts w:ascii="Calibri" w:hAnsi="Calibri"/>
                <w:sz w:val="20"/>
                <w:szCs w:val="20"/>
              </w:rPr>
              <w:t>komens</w:t>
            </w:r>
            <w:r w:rsidR="000A1B02">
              <w:rPr>
                <w:rFonts w:ascii="Calibri" w:hAnsi="Calibri"/>
                <w:sz w:val="20"/>
                <w:szCs w:val="20"/>
              </w:rPr>
              <w:t xml:space="preserve"> (verder te noemen WNT)</w:t>
            </w:r>
            <w:proofErr w:type="gramStart"/>
            <w:r w:rsidR="000A1B02">
              <w:rPr>
                <w:rFonts w:ascii="Calibri" w:hAnsi="Calibri"/>
                <w:sz w:val="20"/>
                <w:szCs w:val="20"/>
              </w:rPr>
              <w:t>.</w:t>
            </w:r>
            <w:r w:rsidR="00C51023">
              <w:rPr>
                <w:rFonts w:ascii="Calibri" w:hAnsi="Calibri"/>
                <w:sz w:val="20"/>
                <w:szCs w:val="20"/>
              </w:rPr>
              <w:t>.</w:t>
            </w:r>
            <w:proofErr w:type="gramEnd"/>
            <w:r w:rsidR="00C51023">
              <w:rPr>
                <w:rFonts w:ascii="Calibri" w:hAnsi="Calibri"/>
                <w:sz w:val="20"/>
                <w:szCs w:val="20"/>
              </w:rPr>
              <w:t xml:space="preserve"> Per 1 januari 2015 is</w:t>
            </w:r>
            <w:r>
              <w:rPr>
                <w:rFonts w:ascii="Calibri" w:hAnsi="Calibri"/>
                <w:sz w:val="20"/>
                <w:szCs w:val="20"/>
              </w:rPr>
              <w:t xml:space="preserve"> de wet aangepast. In de zogenaamde Reparatiewet WNT wordt de inkomensgrens scherper gesteld: in plaats van maximaal 130% van het ministerssalaris mag een topfunctionaris in de (semi) publieke sector nog maar 100% van het salaris verdienen. Met pensioen en onkosten wordt de totale</w:t>
            </w:r>
            <w:r w:rsidR="00C51023">
              <w:rPr>
                <w:rFonts w:ascii="Calibri" w:hAnsi="Calibri"/>
                <w:sz w:val="20"/>
                <w:szCs w:val="20"/>
              </w:rPr>
              <w:t xml:space="preserve"> bruto</w:t>
            </w:r>
            <w:r>
              <w:rPr>
                <w:rFonts w:ascii="Calibri" w:hAnsi="Calibri"/>
                <w:sz w:val="20"/>
                <w:szCs w:val="20"/>
              </w:rPr>
              <w:t xml:space="preserve"> bezoldiging op € 178.000 gesteld, een daling van ongeveer € </w:t>
            </w:r>
            <w:proofErr w:type="gramStart"/>
            <w:r>
              <w:rPr>
                <w:rFonts w:ascii="Calibri" w:hAnsi="Calibri"/>
                <w:sz w:val="20"/>
                <w:szCs w:val="20"/>
              </w:rPr>
              <w:t xml:space="preserve">50.000.  </w:t>
            </w:r>
            <w:proofErr w:type="gramEnd"/>
          </w:p>
          <w:p w14:paraId="05B7F47E" w14:textId="77777777" w:rsidR="0012125F" w:rsidRDefault="0012125F" w:rsidP="0012125F">
            <w:pPr>
              <w:rPr>
                <w:rFonts w:ascii="Calibri" w:hAnsi="Calibri"/>
                <w:sz w:val="20"/>
                <w:szCs w:val="20"/>
              </w:rPr>
            </w:pPr>
          </w:p>
          <w:p w14:paraId="7D2B4BAE" w14:textId="77777777" w:rsidR="0012125F" w:rsidRDefault="0012125F" w:rsidP="0012125F">
            <w:pPr>
              <w:rPr>
                <w:rFonts w:ascii="Calibri" w:hAnsi="Calibri"/>
                <w:sz w:val="20"/>
                <w:szCs w:val="20"/>
              </w:rPr>
            </w:pPr>
            <w:r>
              <w:rPr>
                <w:rFonts w:ascii="Calibri" w:hAnsi="Calibri"/>
                <w:sz w:val="20"/>
                <w:szCs w:val="20"/>
              </w:rPr>
              <w:t>Zowel de WNT 1 als de WNT 2 gelden voor de Rijksoverheid, maar ook voor de lagere overheden. Dus ook voor de gemeente Amsterdam. Het biedt niet alleen mogelijkheden om de beloningen van vaste werknemers te beteugelen, maar ook</w:t>
            </w:r>
            <w:r w:rsidR="00C51023">
              <w:rPr>
                <w:rFonts w:ascii="Calibri" w:hAnsi="Calibri"/>
                <w:sz w:val="20"/>
                <w:szCs w:val="20"/>
              </w:rPr>
              <w:t xml:space="preserve"> de tarieven</w:t>
            </w:r>
            <w:r>
              <w:rPr>
                <w:rFonts w:ascii="Calibri" w:hAnsi="Calibri"/>
                <w:sz w:val="20"/>
                <w:szCs w:val="20"/>
              </w:rPr>
              <w:t xml:space="preserve"> van extern ingehuurde krachten. Hierbij gelden de voorwaarden: </w:t>
            </w:r>
          </w:p>
          <w:p w14:paraId="01033E1D" w14:textId="77777777" w:rsidR="0012125F" w:rsidRDefault="0012125F" w:rsidP="0012125F">
            <w:pPr>
              <w:rPr>
                <w:rFonts w:ascii="Calibri" w:hAnsi="Calibri"/>
                <w:sz w:val="20"/>
                <w:szCs w:val="20"/>
              </w:rPr>
            </w:pPr>
          </w:p>
          <w:p w14:paraId="74728139" w14:textId="77777777" w:rsidR="0012125F" w:rsidRPr="00937D71" w:rsidRDefault="0012125F" w:rsidP="0012125F">
            <w:pPr>
              <w:rPr>
                <w:rFonts w:ascii="Calibri" w:hAnsi="Calibri"/>
                <w:sz w:val="20"/>
                <w:szCs w:val="20"/>
              </w:rPr>
            </w:pPr>
            <w:r>
              <w:rPr>
                <w:rFonts w:ascii="Calibri" w:hAnsi="Calibri"/>
                <w:sz w:val="20"/>
                <w:szCs w:val="20"/>
              </w:rPr>
              <w:t>- ‘</w:t>
            </w:r>
            <w:r w:rsidRPr="00937D71">
              <w:rPr>
                <w:rFonts w:ascii="Calibri" w:hAnsi="Calibri"/>
                <w:sz w:val="20"/>
                <w:szCs w:val="20"/>
              </w:rPr>
              <w:t>Op het moment dat een interim-topfunctionaris zijn interim-functie binnen een periode van 18 maanden, zes maanden of meer vervult, is de WNT-norm op hem van toepassing. De termijn van zes uit 18 maanden kan al voor 1 januari van het boekjaar ingegaan zijn.</w:t>
            </w:r>
            <w:r>
              <w:rPr>
                <w:rFonts w:ascii="Calibri" w:hAnsi="Calibri"/>
                <w:sz w:val="20"/>
                <w:szCs w:val="20"/>
              </w:rPr>
              <w:t>’</w:t>
            </w:r>
            <w:r>
              <w:rPr>
                <w:rStyle w:val="Voetnootmarkering"/>
                <w:rFonts w:ascii="Calibri" w:hAnsi="Calibri"/>
                <w:sz w:val="20"/>
                <w:szCs w:val="20"/>
              </w:rPr>
              <w:footnoteReference w:id="2"/>
            </w:r>
          </w:p>
          <w:p w14:paraId="67D46BBB" w14:textId="77777777" w:rsidR="0012125F" w:rsidRPr="003B5259" w:rsidRDefault="0012125F" w:rsidP="0012125F">
            <w:pPr>
              <w:rPr>
                <w:rFonts w:ascii="Calibri" w:hAnsi="Calibri" w:cs="Arial"/>
                <w:sz w:val="20"/>
                <w:szCs w:val="20"/>
              </w:rPr>
            </w:pPr>
          </w:p>
          <w:p w14:paraId="5B35CC42" w14:textId="77777777" w:rsidR="0012125F" w:rsidRDefault="0012125F" w:rsidP="0012125F">
            <w:pPr>
              <w:rPr>
                <w:rFonts w:ascii="Calibri" w:hAnsi="Calibri"/>
                <w:sz w:val="20"/>
                <w:szCs w:val="20"/>
              </w:rPr>
            </w:pPr>
            <w:r>
              <w:rPr>
                <w:rFonts w:ascii="Calibri" w:hAnsi="Calibri"/>
                <w:sz w:val="20"/>
                <w:szCs w:val="20"/>
              </w:rPr>
              <w:t>- ‘</w:t>
            </w:r>
            <w:r w:rsidRPr="00233BBB">
              <w:rPr>
                <w:rFonts w:ascii="Calibri" w:hAnsi="Calibri"/>
                <w:sz w:val="20"/>
                <w:szCs w:val="20"/>
              </w:rPr>
              <w:t xml:space="preserve">Aan de naleving van de wet t.a.v. de hiervoor bedoelde groep niet-topfunctionarissen dient strikt de hand te worden gehouden. Voor niet-topfunctionarissen die bij de desbetreffende WNT-instelling geen – al dan niet fictieve – dienstbetrekking hadden, geldt het volgende. Volgens art. 4.2 lid 2 onder c vermeldt de verantwoordelijke in het financieel verslag ook de bezoldiging van deze categorie interim-functionarissen, indien de functie in een periode van 18 maanden voor meer dan 6 maanden is vervuld en de bezoldiging (naar </w:t>
            </w:r>
            <w:proofErr w:type="gramStart"/>
            <w:r w:rsidRPr="00233BBB">
              <w:rPr>
                <w:rFonts w:ascii="Calibri" w:hAnsi="Calibri"/>
                <w:sz w:val="20"/>
                <w:szCs w:val="20"/>
              </w:rPr>
              <w:t>rato</w:t>
            </w:r>
            <w:proofErr w:type="gramEnd"/>
            <w:r w:rsidRPr="00233BBB">
              <w:rPr>
                <w:rFonts w:ascii="Calibri" w:hAnsi="Calibri"/>
                <w:sz w:val="20"/>
                <w:szCs w:val="20"/>
              </w:rPr>
              <w:t xml:space="preserve"> herberekend) per kalenderjaar meer bedraagt dan de maximale bezoldiging.</w:t>
            </w:r>
            <w:r>
              <w:rPr>
                <w:rFonts w:ascii="Calibri" w:hAnsi="Calibri"/>
                <w:sz w:val="20"/>
                <w:szCs w:val="20"/>
              </w:rPr>
              <w:t>’</w:t>
            </w:r>
            <w:r>
              <w:rPr>
                <w:rStyle w:val="Voetnootmarkering"/>
                <w:rFonts w:ascii="Calibri" w:hAnsi="Calibri"/>
                <w:sz w:val="20"/>
                <w:szCs w:val="20"/>
              </w:rPr>
              <w:footnoteReference w:id="3"/>
            </w:r>
          </w:p>
          <w:p w14:paraId="5A7DE974" w14:textId="77777777" w:rsidR="00C026A2" w:rsidRDefault="00C026A2" w:rsidP="0012125F">
            <w:pPr>
              <w:rPr>
                <w:rFonts w:ascii="Calibri" w:hAnsi="Calibri"/>
                <w:sz w:val="20"/>
                <w:szCs w:val="20"/>
              </w:rPr>
            </w:pPr>
          </w:p>
          <w:p w14:paraId="39E9EC53" w14:textId="0E35380A" w:rsidR="0012125F" w:rsidRPr="003B5259" w:rsidRDefault="00786036" w:rsidP="0012125F">
            <w:pPr>
              <w:rPr>
                <w:rFonts w:ascii="Calibri" w:hAnsi="Calibri"/>
                <w:b/>
                <w:sz w:val="20"/>
                <w:szCs w:val="20"/>
              </w:rPr>
            </w:pPr>
            <w:r>
              <w:rPr>
                <w:rFonts w:ascii="Calibri" w:hAnsi="Calibri"/>
                <w:b/>
                <w:sz w:val="20"/>
                <w:szCs w:val="20"/>
              </w:rPr>
              <w:t>Wet Normering T</w:t>
            </w:r>
            <w:r w:rsidR="0012125F" w:rsidRPr="003B5259">
              <w:rPr>
                <w:rFonts w:ascii="Calibri" w:hAnsi="Calibri"/>
                <w:b/>
                <w:sz w:val="20"/>
                <w:szCs w:val="20"/>
              </w:rPr>
              <w:t>opinkomens II en Amsterdam</w:t>
            </w:r>
          </w:p>
          <w:p w14:paraId="5E1BF8A7" w14:textId="77777777" w:rsidR="0012125F" w:rsidRDefault="0012125F" w:rsidP="0012125F">
            <w:pPr>
              <w:rPr>
                <w:rFonts w:ascii="Calibri" w:hAnsi="Calibri"/>
                <w:sz w:val="20"/>
                <w:szCs w:val="20"/>
              </w:rPr>
            </w:pPr>
            <w:r>
              <w:rPr>
                <w:rFonts w:ascii="Calibri" w:hAnsi="Calibri"/>
                <w:sz w:val="20"/>
                <w:szCs w:val="20"/>
              </w:rPr>
              <w:t xml:space="preserve">In Amsterdam gelden al regels voor de inhuur van externe krachten. Deze zijn vastgelegd in de gewijzigde </w:t>
            </w:r>
            <w:r w:rsidRPr="00BE679F">
              <w:rPr>
                <w:rFonts w:ascii="Calibri" w:hAnsi="Calibri"/>
                <w:sz w:val="20"/>
                <w:szCs w:val="20"/>
              </w:rPr>
              <w:t>Gedragscode Externe Inhuur</w:t>
            </w:r>
            <w:r>
              <w:rPr>
                <w:rFonts w:ascii="Calibri" w:hAnsi="Calibri"/>
                <w:sz w:val="20"/>
                <w:szCs w:val="20"/>
              </w:rPr>
              <w:t xml:space="preserve"> uit juli 2013. Het college stelt zich daarin ten doel: ‘</w:t>
            </w:r>
            <w:r w:rsidRPr="00BE679F">
              <w:rPr>
                <w:rFonts w:ascii="Calibri" w:hAnsi="Calibri"/>
                <w:sz w:val="20"/>
                <w:szCs w:val="20"/>
              </w:rPr>
              <w:t>De opzet van het college is de inhuur van externen te beperken en de capaciteiten en de inzet van het eigen personeel beter te benutten.</w:t>
            </w:r>
            <w:r>
              <w:rPr>
                <w:rFonts w:ascii="Calibri" w:hAnsi="Calibri"/>
                <w:sz w:val="20"/>
                <w:szCs w:val="20"/>
              </w:rPr>
              <w:t>’</w:t>
            </w:r>
            <w:r>
              <w:rPr>
                <w:rStyle w:val="Voetnootmarkering"/>
                <w:rFonts w:ascii="Calibri" w:hAnsi="Calibri"/>
                <w:sz w:val="20"/>
                <w:szCs w:val="20"/>
              </w:rPr>
              <w:footnoteReference w:id="4"/>
            </w:r>
          </w:p>
          <w:p w14:paraId="721F09F6" w14:textId="77777777" w:rsidR="0012125F" w:rsidRDefault="0012125F" w:rsidP="0012125F">
            <w:pPr>
              <w:rPr>
                <w:rFonts w:ascii="Calibri" w:hAnsi="Calibri"/>
                <w:sz w:val="20"/>
                <w:szCs w:val="20"/>
              </w:rPr>
            </w:pPr>
          </w:p>
          <w:p w14:paraId="2BCE26C4" w14:textId="77777777" w:rsidR="0012125F" w:rsidRDefault="0012125F" w:rsidP="0012125F">
            <w:pPr>
              <w:rPr>
                <w:rFonts w:ascii="Calibri" w:hAnsi="Calibri"/>
                <w:sz w:val="20"/>
                <w:szCs w:val="20"/>
              </w:rPr>
            </w:pPr>
            <w:r>
              <w:rPr>
                <w:rFonts w:ascii="Calibri" w:hAnsi="Calibri"/>
                <w:sz w:val="20"/>
                <w:szCs w:val="20"/>
              </w:rPr>
              <w:t>Qua kosten stelt de Gedragscode grenzen: ‘</w:t>
            </w:r>
            <w:r w:rsidRPr="006A50AB">
              <w:rPr>
                <w:rFonts w:ascii="Calibri" w:hAnsi="Calibri"/>
                <w:sz w:val="20"/>
                <w:szCs w:val="20"/>
              </w:rPr>
              <w:t>Het uitgangspunt bij de inhuur van externen is dat de totale contractwaarde als maximum niet uitkomt boven de huidige Europese aanbestedingsg</w:t>
            </w:r>
            <w:r>
              <w:rPr>
                <w:rFonts w:ascii="Calibri" w:hAnsi="Calibri"/>
                <w:sz w:val="20"/>
                <w:szCs w:val="20"/>
              </w:rPr>
              <w:t>rens voor diensten van € 193.000’</w:t>
            </w:r>
            <w:r>
              <w:rPr>
                <w:rStyle w:val="Voetnootmarkering"/>
                <w:rFonts w:ascii="Calibri" w:hAnsi="Calibri"/>
                <w:sz w:val="20"/>
                <w:szCs w:val="20"/>
              </w:rPr>
              <w:footnoteReference w:id="5"/>
            </w:r>
            <w:r>
              <w:rPr>
                <w:rFonts w:ascii="Calibri" w:hAnsi="Calibri"/>
                <w:sz w:val="20"/>
                <w:szCs w:val="20"/>
              </w:rPr>
              <w:t xml:space="preserve"> en: ‘</w:t>
            </w:r>
            <w:r w:rsidRPr="006A50AB">
              <w:rPr>
                <w:rFonts w:ascii="Calibri" w:hAnsi="Calibri"/>
                <w:sz w:val="20"/>
                <w:szCs w:val="20"/>
              </w:rPr>
              <w:t>Mocht de te verwachten inhuur op contractbasis boven de €193.000</w:t>
            </w:r>
            <w:proofErr w:type="gramStart"/>
            <w:r w:rsidRPr="006A50AB">
              <w:rPr>
                <w:rFonts w:ascii="Calibri" w:hAnsi="Calibri"/>
                <w:sz w:val="20"/>
                <w:szCs w:val="20"/>
              </w:rPr>
              <w:t>,-</w:t>
            </w:r>
            <w:proofErr w:type="gramEnd"/>
            <w:r w:rsidRPr="006A50AB">
              <w:rPr>
                <w:rFonts w:ascii="Calibri" w:hAnsi="Calibri"/>
                <w:sz w:val="20"/>
                <w:szCs w:val="20"/>
              </w:rPr>
              <w:t xml:space="preserve"> uitkomen, hierbij geldt uiteraard de wettelijke verplichting van een Europese aanbesteding (indien aanbestedingsplichtig), dan wordt deze inhuur ter goedkeuring voorgelegd via de vakwethouder aan het College</w:t>
            </w:r>
            <w:r>
              <w:rPr>
                <w:rFonts w:ascii="Calibri" w:hAnsi="Calibri"/>
                <w:sz w:val="20"/>
                <w:szCs w:val="20"/>
              </w:rPr>
              <w:t>.’</w:t>
            </w:r>
            <w:r>
              <w:rPr>
                <w:rStyle w:val="Voetnootmarkering"/>
                <w:rFonts w:ascii="Calibri" w:hAnsi="Calibri"/>
                <w:sz w:val="20"/>
                <w:szCs w:val="20"/>
              </w:rPr>
              <w:footnoteReference w:id="6"/>
            </w:r>
            <w:r>
              <w:rPr>
                <w:rFonts w:ascii="Calibri" w:hAnsi="Calibri"/>
                <w:sz w:val="20"/>
                <w:szCs w:val="20"/>
              </w:rPr>
              <w:t xml:space="preserve"> </w:t>
            </w:r>
          </w:p>
          <w:p w14:paraId="1EB2058C" w14:textId="77777777" w:rsidR="0012125F" w:rsidRDefault="0012125F" w:rsidP="0012125F">
            <w:pPr>
              <w:rPr>
                <w:rFonts w:ascii="Calibri" w:hAnsi="Calibri"/>
                <w:sz w:val="20"/>
                <w:szCs w:val="20"/>
              </w:rPr>
            </w:pPr>
          </w:p>
          <w:p w14:paraId="2E8B8541" w14:textId="77777777" w:rsidR="0012125F" w:rsidRPr="00BE679F" w:rsidRDefault="0012125F" w:rsidP="0012125F">
            <w:pPr>
              <w:rPr>
                <w:rFonts w:ascii="Calibri" w:hAnsi="Calibri"/>
                <w:sz w:val="20"/>
                <w:szCs w:val="20"/>
              </w:rPr>
            </w:pPr>
            <w:r>
              <w:rPr>
                <w:rFonts w:ascii="Calibri" w:hAnsi="Calibri"/>
                <w:sz w:val="20"/>
                <w:szCs w:val="20"/>
              </w:rPr>
              <w:t xml:space="preserve">Hiermee wordt de maximale hoogte in principe afgeleid van de Europese aanbestedingsgrens, maar is er ruimte om eroverheen te gaan, al moet hier het college wel speciale toestemming voor geven. </w:t>
            </w:r>
            <w:r w:rsidRPr="00BE679F">
              <w:rPr>
                <w:rFonts w:ascii="Calibri" w:hAnsi="Calibri"/>
                <w:sz w:val="20"/>
                <w:szCs w:val="20"/>
              </w:rPr>
              <w:t>In 2013 is er in acht gevallen sprake van externe inhuur met een contractbasis voor inhuur &gt;€ 200.000 (in 2012 was dit het geval bij dertien contracten).</w:t>
            </w:r>
            <w:r>
              <w:rPr>
                <w:rFonts w:ascii="Calibri" w:hAnsi="Calibri"/>
                <w:sz w:val="20"/>
                <w:szCs w:val="20"/>
              </w:rPr>
              <w:t xml:space="preserve"> Dat bedrag is aanzienlijk hoger dan het maximum binnen de WNT II.</w:t>
            </w:r>
            <w:r w:rsidRPr="00BE679F">
              <w:rPr>
                <w:rFonts w:ascii="Calibri" w:hAnsi="Calibri"/>
                <w:sz w:val="20"/>
                <w:szCs w:val="20"/>
              </w:rPr>
              <w:t xml:space="preserve"> In 2013 kwam inhuur met een uurtarief hoger dan € 150 per uur </w:t>
            </w:r>
            <w:r w:rsidRPr="00BE679F">
              <w:rPr>
                <w:rFonts w:ascii="Calibri" w:hAnsi="Calibri"/>
                <w:sz w:val="20"/>
                <w:szCs w:val="20"/>
              </w:rPr>
              <w:lastRenderedPageBreak/>
              <w:t xml:space="preserve">of een dagtarief hoger dan € 1.200 vier keer voor. </w:t>
            </w:r>
            <w:r>
              <w:rPr>
                <w:rFonts w:ascii="Calibri" w:hAnsi="Calibri"/>
                <w:sz w:val="20"/>
                <w:szCs w:val="20"/>
              </w:rPr>
              <w:t xml:space="preserve">In totaal heeft de gemeente voor 89,8 miljoen in 2013 aan externe inhuur uitgegeven. </w:t>
            </w:r>
          </w:p>
          <w:p w14:paraId="3983EDB3" w14:textId="77777777" w:rsidR="0012125F" w:rsidRPr="006A50AB" w:rsidRDefault="0012125F" w:rsidP="0012125F">
            <w:pPr>
              <w:rPr>
                <w:rFonts w:ascii="Calibri" w:hAnsi="Calibri"/>
                <w:sz w:val="20"/>
                <w:szCs w:val="20"/>
              </w:rPr>
            </w:pPr>
          </w:p>
          <w:p w14:paraId="1542B2C3" w14:textId="77777777" w:rsidR="0012125F" w:rsidRPr="003B5259" w:rsidRDefault="0012125F" w:rsidP="0012125F">
            <w:pPr>
              <w:rPr>
                <w:rFonts w:ascii="Calibri" w:hAnsi="Calibri"/>
                <w:b/>
                <w:sz w:val="20"/>
                <w:szCs w:val="20"/>
              </w:rPr>
            </w:pPr>
            <w:r w:rsidRPr="003B5259">
              <w:rPr>
                <w:rFonts w:ascii="Calibri" w:hAnsi="Calibri"/>
                <w:b/>
                <w:sz w:val="20"/>
                <w:szCs w:val="20"/>
              </w:rPr>
              <w:t>Onze voorstellen</w:t>
            </w:r>
          </w:p>
          <w:p w14:paraId="3AD0A84D" w14:textId="77777777" w:rsidR="00804B4D" w:rsidRPr="00804B4D" w:rsidRDefault="00804B4D" w:rsidP="00804B4D">
            <w:pPr>
              <w:autoSpaceDE w:val="0"/>
              <w:autoSpaceDN w:val="0"/>
              <w:adjustRightInd w:val="0"/>
              <w:spacing w:line="240" w:lineRule="auto"/>
              <w:rPr>
                <w:rFonts w:ascii="Calibri" w:hAnsi="Calibri" w:cs="Calibri"/>
                <w:sz w:val="20"/>
                <w:szCs w:val="20"/>
              </w:rPr>
            </w:pPr>
            <w:r w:rsidRPr="00804B4D">
              <w:rPr>
                <w:rFonts w:ascii="Calibri" w:hAnsi="Calibri" w:cs="Calibri"/>
                <w:sz w:val="20"/>
                <w:szCs w:val="20"/>
              </w:rPr>
              <w:t>De PvdA vindt dat medewerkers in de publieke sector goed, maar niet exorbitant hoeven te verdienen. Dat geldt ook voor de tarieven van extern ingehuurde medewerkers op alle niveaus. Daarom stelt de fractie voor om:</w:t>
            </w:r>
          </w:p>
          <w:p w14:paraId="71D5540F" w14:textId="77777777" w:rsidR="00804B4D" w:rsidRPr="00804B4D" w:rsidRDefault="00804B4D" w:rsidP="00B55BBC">
            <w:pPr>
              <w:pStyle w:val="Lijstalinea"/>
              <w:numPr>
                <w:ilvl w:val="0"/>
                <w:numId w:val="8"/>
              </w:numPr>
              <w:autoSpaceDE w:val="0"/>
              <w:autoSpaceDN w:val="0"/>
              <w:adjustRightInd w:val="0"/>
              <w:spacing w:after="0" w:line="240" w:lineRule="auto"/>
              <w:rPr>
                <w:rFonts w:cs="Calibri"/>
                <w:sz w:val="20"/>
                <w:szCs w:val="20"/>
              </w:rPr>
            </w:pPr>
            <w:r w:rsidRPr="00804B4D">
              <w:rPr>
                <w:rFonts w:cs="Calibri"/>
                <w:sz w:val="20"/>
                <w:szCs w:val="20"/>
              </w:rPr>
              <w:t>de WNT2 norm met ingang van 1/</w:t>
            </w:r>
            <w:r w:rsidR="002F4FAB">
              <w:rPr>
                <w:rFonts w:cs="Calibri"/>
                <w:sz w:val="20"/>
                <w:szCs w:val="20"/>
              </w:rPr>
              <w:t>6</w:t>
            </w:r>
            <w:r w:rsidRPr="00804B4D">
              <w:rPr>
                <w:rFonts w:cs="Calibri"/>
                <w:sz w:val="20"/>
                <w:szCs w:val="20"/>
              </w:rPr>
              <w:t xml:space="preserve">/2015 onverkort te laten gelden als maatstaf voor de tarieven voor externe </w:t>
            </w:r>
            <w:proofErr w:type="gramStart"/>
            <w:r w:rsidRPr="00804B4D">
              <w:rPr>
                <w:rFonts w:cs="Calibri"/>
                <w:sz w:val="20"/>
                <w:szCs w:val="20"/>
              </w:rPr>
              <w:t>inhuur</w:t>
            </w:r>
            <w:proofErr w:type="gramEnd"/>
            <w:r w:rsidRPr="00804B4D">
              <w:rPr>
                <w:rFonts w:cs="Calibri"/>
                <w:sz w:val="20"/>
                <w:szCs w:val="20"/>
              </w:rPr>
              <w:t>;</w:t>
            </w:r>
          </w:p>
          <w:p w14:paraId="3239024D" w14:textId="6CC17000" w:rsidR="00B64173" w:rsidRDefault="00804B4D" w:rsidP="00B64173">
            <w:pPr>
              <w:pStyle w:val="Lijstalinea"/>
              <w:numPr>
                <w:ilvl w:val="0"/>
                <w:numId w:val="8"/>
              </w:numPr>
              <w:autoSpaceDE w:val="0"/>
              <w:autoSpaceDN w:val="0"/>
              <w:adjustRightInd w:val="0"/>
              <w:spacing w:after="0" w:line="240" w:lineRule="auto"/>
              <w:rPr>
                <w:rFonts w:cs="Calibri"/>
                <w:sz w:val="20"/>
                <w:szCs w:val="20"/>
              </w:rPr>
            </w:pPr>
            <w:r w:rsidRPr="00804B4D">
              <w:rPr>
                <w:rFonts w:cs="Calibri"/>
                <w:sz w:val="20"/>
                <w:szCs w:val="20"/>
              </w:rPr>
              <w:t>een externe functionaris werkend in opdracht van de Gemeente Amsterdam mag binnen 1 jaar n</w:t>
            </w:r>
            <w:r w:rsidR="008527A3">
              <w:rPr>
                <w:rFonts w:cs="Calibri"/>
                <w:sz w:val="20"/>
                <w:szCs w:val="20"/>
              </w:rPr>
              <w:t>ie</w:t>
            </w:r>
            <w:r w:rsidRPr="00804B4D">
              <w:rPr>
                <w:rFonts w:cs="Calibri"/>
                <w:sz w:val="20"/>
                <w:szCs w:val="20"/>
              </w:rPr>
              <w:t>t méér in rekening brengen dan het bruto salaris van een minister (inclusief onkosten en pensioen);</w:t>
            </w:r>
          </w:p>
          <w:p w14:paraId="7DDF0902" w14:textId="432FDFF1" w:rsidR="0036395B" w:rsidRPr="0036395B" w:rsidRDefault="0036395B" w:rsidP="0036395B">
            <w:pPr>
              <w:pStyle w:val="Lijstalinea"/>
              <w:numPr>
                <w:ilvl w:val="0"/>
                <w:numId w:val="8"/>
              </w:numPr>
              <w:autoSpaceDE w:val="0"/>
              <w:autoSpaceDN w:val="0"/>
              <w:adjustRightInd w:val="0"/>
              <w:spacing w:after="0" w:line="240" w:lineRule="auto"/>
              <w:rPr>
                <w:rFonts w:cs="Calibri"/>
                <w:sz w:val="20"/>
                <w:szCs w:val="20"/>
              </w:rPr>
            </w:pPr>
            <w:r w:rsidRPr="00804B4D">
              <w:rPr>
                <w:rFonts w:cs="Calibri"/>
                <w:sz w:val="20"/>
                <w:szCs w:val="20"/>
              </w:rPr>
              <w:t>concreet betekent d</w:t>
            </w:r>
            <w:r w:rsidR="00AE03E6">
              <w:rPr>
                <w:rFonts w:cs="Calibri"/>
                <w:sz w:val="20"/>
                <w:szCs w:val="20"/>
              </w:rPr>
              <w:t>it dat de Gewijzigde Gedragscode</w:t>
            </w:r>
            <w:r w:rsidRPr="00804B4D">
              <w:rPr>
                <w:rFonts w:cs="Calibri"/>
                <w:sz w:val="20"/>
                <w:szCs w:val="20"/>
              </w:rPr>
              <w:t xml:space="preserve"> Externe </w:t>
            </w:r>
            <w:proofErr w:type="gramStart"/>
            <w:r w:rsidRPr="00804B4D">
              <w:rPr>
                <w:rFonts w:cs="Calibri"/>
                <w:sz w:val="20"/>
                <w:szCs w:val="20"/>
              </w:rPr>
              <w:t>inhuur</w:t>
            </w:r>
            <w:proofErr w:type="gramEnd"/>
            <w:r w:rsidRPr="00804B4D">
              <w:rPr>
                <w:rFonts w:cs="Calibri"/>
                <w:sz w:val="20"/>
                <w:szCs w:val="20"/>
              </w:rPr>
              <w:t xml:space="preserve"> aangepast en verlaagd moet worden aan de nieuwe WNT2 norm van maximaal €178.000 per jaar.</w:t>
            </w:r>
          </w:p>
          <w:p w14:paraId="501A247B" w14:textId="001F4389" w:rsidR="00B64173" w:rsidRPr="00804B4D" w:rsidRDefault="00B64173" w:rsidP="00B64173">
            <w:pPr>
              <w:pStyle w:val="Lijstalinea"/>
              <w:numPr>
                <w:ilvl w:val="0"/>
                <w:numId w:val="8"/>
              </w:numPr>
              <w:autoSpaceDE w:val="0"/>
              <w:autoSpaceDN w:val="0"/>
              <w:adjustRightInd w:val="0"/>
              <w:spacing w:after="0" w:line="240" w:lineRule="auto"/>
              <w:rPr>
                <w:rFonts w:cs="Calibri"/>
                <w:sz w:val="20"/>
                <w:szCs w:val="20"/>
              </w:rPr>
            </w:pPr>
            <w:r w:rsidRPr="00804B4D">
              <w:rPr>
                <w:rFonts w:cs="Calibri"/>
                <w:sz w:val="20"/>
                <w:szCs w:val="20"/>
              </w:rPr>
              <w:t>dit voor alle externe (interim) functionarissen te laten gelden en niet alleen voor die functionarissen die op basis van hun interim functie tevens een (zware) managemen</w:t>
            </w:r>
            <w:r>
              <w:rPr>
                <w:rFonts w:cs="Calibri"/>
                <w:sz w:val="20"/>
                <w:szCs w:val="20"/>
              </w:rPr>
              <w:t>t verantwoordelijkheid bekleden;</w:t>
            </w:r>
          </w:p>
          <w:p w14:paraId="15F65ABA" w14:textId="77777777" w:rsidR="00B64173" w:rsidRDefault="00B64173" w:rsidP="00B64173">
            <w:pPr>
              <w:pStyle w:val="Lijstalinea"/>
              <w:numPr>
                <w:ilvl w:val="0"/>
                <w:numId w:val="8"/>
              </w:numPr>
              <w:autoSpaceDE w:val="0"/>
              <w:autoSpaceDN w:val="0"/>
              <w:adjustRightInd w:val="0"/>
              <w:spacing w:after="0" w:line="240" w:lineRule="auto"/>
              <w:rPr>
                <w:rFonts w:cs="Calibri"/>
                <w:sz w:val="20"/>
                <w:szCs w:val="20"/>
              </w:rPr>
            </w:pPr>
            <w:r w:rsidRPr="00804B4D">
              <w:rPr>
                <w:rFonts w:cs="Calibri"/>
                <w:sz w:val="20"/>
                <w:szCs w:val="20"/>
              </w:rPr>
              <w:t>bij lopende contracten over de inhoud van deze contracten in overleg te treden met de opdrachtnemers en hierbij een appél te doen op de desbetreffende functionarissen, dan wel een redelijke overgangstermijn af te spreken. Deze overgangstermijn moet in verhouding staan tot de looptijd van het dan geldende contract en binnen wat juridisch mogelijk is.</w:t>
            </w:r>
          </w:p>
          <w:p w14:paraId="27035575" w14:textId="77777777" w:rsidR="00B64173" w:rsidRDefault="00B64173" w:rsidP="00B64173">
            <w:pPr>
              <w:autoSpaceDE w:val="0"/>
              <w:autoSpaceDN w:val="0"/>
              <w:adjustRightInd w:val="0"/>
              <w:spacing w:line="240" w:lineRule="auto"/>
              <w:rPr>
                <w:rFonts w:asciiTheme="minorHAnsi" w:hAnsiTheme="minorHAnsi" w:cs="Calibri"/>
                <w:sz w:val="20"/>
                <w:szCs w:val="20"/>
              </w:rPr>
            </w:pPr>
          </w:p>
          <w:p w14:paraId="1E07A9E9" w14:textId="29AAAA84" w:rsidR="007D523D" w:rsidRDefault="00503085" w:rsidP="007D523D">
            <w:pPr>
              <w:autoSpaceDE w:val="0"/>
              <w:autoSpaceDN w:val="0"/>
              <w:adjustRightInd w:val="0"/>
              <w:spacing w:line="240" w:lineRule="auto"/>
              <w:rPr>
                <w:rFonts w:asciiTheme="minorHAnsi" w:hAnsiTheme="minorHAnsi" w:cs="Calibri"/>
                <w:b/>
                <w:sz w:val="20"/>
                <w:szCs w:val="20"/>
              </w:rPr>
            </w:pPr>
            <w:r w:rsidRPr="00503085">
              <w:rPr>
                <w:rFonts w:asciiTheme="minorHAnsi" w:hAnsiTheme="minorHAnsi" w:cs="Calibri"/>
                <w:b/>
                <w:sz w:val="20"/>
                <w:szCs w:val="20"/>
              </w:rPr>
              <w:t>Samenhang tussen jaar, dag en uurtarieven</w:t>
            </w:r>
          </w:p>
          <w:p w14:paraId="6193CFF3" w14:textId="24538EF7" w:rsidR="002945A5" w:rsidRPr="002945A5" w:rsidRDefault="00503085" w:rsidP="007A6AE8">
            <w:pPr>
              <w:pStyle w:val="Lijstalinea"/>
              <w:numPr>
                <w:ilvl w:val="0"/>
                <w:numId w:val="8"/>
              </w:numPr>
              <w:autoSpaceDE w:val="0"/>
              <w:autoSpaceDN w:val="0"/>
              <w:adjustRightInd w:val="0"/>
              <w:spacing w:after="0" w:line="240" w:lineRule="auto"/>
              <w:rPr>
                <w:rFonts w:cs="Calibri"/>
                <w:sz w:val="20"/>
                <w:szCs w:val="20"/>
              </w:rPr>
            </w:pPr>
            <w:r>
              <w:rPr>
                <w:rFonts w:asciiTheme="minorHAnsi" w:hAnsiTheme="minorHAnsi" w:cs="Calibri"/>
                <w:sz w:val="20"/>
                <w:szCs w:val="20"/>
              </w:rPr>
              <w:t xml:space="preserve">Indien het </w:t>
            </w:r>
            <w:r w:rsidR="00251AEC" w:rsidRPr="001F1A51">
              <w:rPr>
                <w:rFonts w:asciiTheme="minorHAnsi" w:hAnsiTheme="minorHAnsi" w:cs="Calibri"/>
                <w:sz w:val="20"/>
                <w:szCs w:val="20"/>
              </w:rPr>
              <w:t xml:space="preserve">bedrag </w:t>
            </w:r>
            <w:r>
              <w:rPr>
                <w:rFonts w:asciiTheme="minorHAnsi" w:hAnsiTheme="minorHAnsi" w:cs="Calibri"/>
                <w:sz w:val="20"/>
                <w:szCs w:val="20"/>
              </w:rPr>
              <w:t>van de nieuwe norm</w:t>
            </w:r>
            <w:r w:rsidR="00F93BF0">
              <w:rPr>
                <w:rFonts w:asciiTheme="minorHAnsi" w:hAnsiTheme="minorHAnsi" w:cs="Calibri"/>
                <w:sz w:val="20"/>
                <w:szCs w:val="20"/>
              </w:rPr>
              <w:t xml:space="preserve"> a €178.000 </w:t>
            </w:r>
            <w:r w:rsidR="00251AEC" w:rsidRPr="001F1A51">
              <w:rPr>
                <w:rFonts w:asciiTheme="minorHAnsi" w:hAnsiTheme="minorHAnsi" w:cs="Calibri"/>
                <w:sz w:val="20"/>
                <w:szCs w:val="20"/>
              </w:rPr>
              <w:t>gebruikt wordt om te berekenen wat het dagtarief wordt</w:t>
            </w:r>
            <w:r w:rsidR="001F1A51" w:rsidRPr="001F1A51">
              <w:rPr>
                <w:rFonts w:asciiTheme="minorHAnsi" w:hAnsiTheme="minorHAnsi" w:cs="Calibri"/>
                <w:sz w:val="20"/>
                <w:szCs w:val="20"/>
              </w:rPr>
              <w:t xml:space="preserve"> ontstaat de volgende uitkomst: </w:t>
            </w:r>
            <w:r w:rsidR="004E0FC3">
              <w:rPr>
                <w:rFonts w:asciiTheme="minorHAnsi" w:hAnsiTheme="minorHAnsi"/>
                <w:sz w:val="20"/>
                <w:szCs w:val="20"/>
              </w:rPr>
              <w:t>u</w:t>
            </w:r>
            <w:r w:rsidR="001F1A51" w:rsidRPr="001F1A51">
              <w:rPr>
                <w:rFonts w:asciiTheme="minorHAnsi" w:hAnsiTheme="minorHAnsi"/>
                <w:sz w:val="20"/>
                <w:szCs w:val="20"/>
              </w:rPr>
              <w:t>itgaande van maximaal 36 uur per week en</w:t>
            </w:r>
            <w:r w:rsidR="000F21F3">
              <w:rPr>
                <w:rFonts w:asciiTheme="minorHAnsi" w:hAnsiTheme="minorHAnsi"/>
                <w:sz w:val="20"/>
                <w:szCs w:val="20"/>
              </w:rPr>
              <w:t xml:space="preserve"> 226 </w:t>
            </w:r>
            <w:r w:rsidR="00715133">
              <w:rPr>
                <w:rFonts w:asciiTheme="minorHAnsi" w:hAnsiTheme="minorHAnsi"/>
                <w:sz w:val="20"/>
                <w:szCs w:val="20"/>
              </w:rPr>
              <w:t>declarabele</w:t>
            </w:r>
            <w:r w:rsidR="000F21F3">
              <w:rPr>
                <w:rFonts w:asciiTheme="minorHAnsi" w:hAnsiTheme="minorHAnsi"/>
                <w:sz w:val="20"/>
                <w:szCs w:val="20"/>
              </w:rPr>
              <w:t xml:space="preserve"> dagen en </w:t>
            </w:r>
            <w:r w:rsidR="001F1A51" w:rsidRPr="000F21F3">
              <w:rPr>
                <w:rFonts w:asciiTheme="minorHAnsi" w:hAnsiTheme="minorHAnsi"/>
                <w:sz w:val="20"/>
                <w:szCs w:val="20"/>
              </w:rPr>
              <w:t>€ 178.000 als jaarlijkse bovengrens</w:t>
            </w:r>
            <w:r w:rsidR="00715133">
              <w:rPr>
                <w:rFonts w:asciiTheme="minorHAnsi" w:hAnsiTheme="minorHAnsi"/>
                <w:sz w:val="20"/>
                <w:szCs w:val="20"/>
              </w:rPr>
              <w:t xml:space="preserve"> volgt</w:t>
            </w:r>
            <w:r w:rsidR="001F1A51" w:rsidRPr="000F21F3">
              <w:rPr>
                <w:rFonts w:asciiTheme="minorHAnsi" w:hAnsiTheme="minorHAnsi"/>
                <w:sz w:val="20"/>
                <w:szCs w:val="20"/>
              </w:rPr>
              <w:t xml:space="preserve"> € 178.000/ 226 dagen=</w:t>
            </w:r>
            <w:r w:rsidR="00D1399F">
              <w:rPr>
                <w:rFonts w:asciiTheme="minorHAnsi" w:hAnsiTheme="minorHAnsi"/>
                <w:sz w:val="20"/>
                <w:szCs w:val="20"/>
              </w:rPr>
              <w:t xml:space="preserve"> € 788</w:t>
            </w:r>
            <w:r w:rsidR="001F1A51" w:rsidRPr="000F21F3">
              <w:rPr>
                <w:rFonts w:asciiTheme="minorHAnsi" w:hAnsiTheme="minorHAnsi"/>
                <w:sz w:val="20"/>
                <w:szCs w:val="20"/>
              </w:rPr>
              <w:t>,00 per dag</w:t>
            </w:r>
            <w:r w:rsidR="008C7DCD">
              <w:rPr>
                <w:rStyle w:val="Voetnootmarkering"/>
                <w:rFonts w:asciiTheme="minorHAnsi" w:hAnsiTheme="minorHAnsi"/>
                <w:sz w:val="20"/>
                <w:szCs w:val="20"/>
              </w:rPr>
              <w:footnoteReference w:id="7"/>
            </w:r>
            <w:r w:rsidR="00C708E2">
              <w:rPr>
                <w:rFonts w:asciiTheme="minorHAnsi" w:hAnsiTheme="minorHAnsi"/>
                <w:sz w:val="20"/>
                <w:szCs w:val="20"/>
              </w:rPr>
              <w:t xml:space="preserve"> </w:t>
            </w:r>
            <w:r w:rsidR="00F93BF0">
              <w:rPr>
                <w:rFonts w:asciiTheme="minorHAnsi" w:hAnsiTheme="minorHAnsi"/>
                <w:sz w:val="20"/>
                <w:szCs w:val="20"/>
              </w:rPr>
              <w:t>(zie</w:t>
            </w:r>
            <w:r w:rsidR="00C708E2">
              <w:rPr>
                <w:rFonts w:asciiTheme="minorHAnsi" w:hAnsiTheme="minorHAnsi"/>
                <w:sz w:val="20"/>
                <w:szCs w:val="20"/>
              </w:rPr>
              <w:t xml:space="preserve"> </w:t>
            </w:r>
            <w:r w:rsidR="008C7DCD">
              <w:rPr>
                <w:rFonts w:asciiTheme="minorHAnsi" w:hAnsiTheme="minorHAnsi"/>
                <w:sz w:val="20"/>
                <w:szCs w:val="20"/>
              </w:rPr>
              <w:t xml:space="preserve">voetnoot voor </w:t>
            </w:r>
            <w:r w:rsidR="00C708E2">
              <w:rPr>
                <w:rFonts w:asciiTheme="minorHAnsi" w:hAnsiTheme="minorHAnsi"/>
                <w:sz w:val="20"/>
                <w:szCs w:val="20"/>
              </w:rPr>
              <w:t>geh</w:t>
            </w:r>
            <w:r w:rsidR="00CE5F73">
              <w:rPr>
                <w:rFonts w:asciiTheme="minorHAnsi" w:hAnsiTheme="minorHAnsi"/>
                <w:sz w:val="20"/>
                <w:szCs w:val="20"/>
              </w:rPr>
              <w:t>anteerde rekenmodel).</w:t>
            </w:r>
            <w:r w:rsidR="004E0FC3">
              <w:rPr>
                <w:rFonts w:asciiTheme="minorHAnsi" w:hAnsiTheme="minorHAnsi"/>
                <w:sz w:val="20"/>
                <w:szCs w:val="20"/>
              </w:rPr>
              <w:t xml:space="preserve"> </w:t>
            </w:r>
            <w:r w:rsidR="00D1399F">
              <w:rPr>
                <w:rFonts w:asciiTheme="minorHAnsi" w:hAnsiTheme="minorHAnsi"/>
                <w:sz w:val="20"/>
                <w:szCs w:val="20"/>
              </w:rPr>
              <w:t xml:space="preserve">Dit </w:t>
            </w:r>
            <w:r w:rsidR="00CE5F73">
              <w:rPr>
                <w:rFonts w:asciiTheme="minorHAnsi" w:hAnsiTheme="minorHAnsi"/>
                <w:sz w:val="20"/>
                <w:szCs w:val="20"/>
              </w:rPr>
              <w:t>is een stevige</w:t>
            </w:r>
            <w:r w:rsidR="00D1399F">
              <w:rPr>
                <w:rFonts w:asciiTheme="minorHAnsi" w:hAnsiTheme="minorHAnsi"/>
                <w:sz w:val="20"/>
                <w:szCs w:val="20"/>
              </w:rPr>
              <w:t xml:space="preserve"> afwijking van de bestaande </w:t>
            </w:r>
            <w:r w:rsidR="00CE5F73">
              <w:rPr>
                <w:rFonts w:asciiTheme="minorHAnsi" w:hAnsiTheme="minorHAnsi"/>
                <w:sz w:val="20"/>
                <w:szCs w:val="20"/>
              </w:rPr>
              <w:t>uur en dagtarieven</w:t>
            </w:r>
            <w:r w:rsidR="00D1399F">
              <w:rPr>
                <w:rFonts w:asciiTheme="minorHAnsi" w:hAnsiTheme="minorHAnsi"/>
                <w:sz w:val="20"/>
                <w:szCs w:val="20"/>
              </w:rPr>
              <w:t xml:space="preserve"> zoals deze in </w:t>
            </w:r>
            <w:r w:rsidR="00A63150">
              <w:rPr>
                <w:rFonts w:asciiTheme="minorHAnsi" w:hAnsiTheme="minorHAnsi"/>
                <w:sz w:val="20"/>
                <w:szCs w:val="20"/>
              </w:rPr>
              <w:t>de Gedragscode Externe Inhuur worden genoemd.</w:t>
            </w:r>
          </w:p>
          <w:p w14:paraId="04890F59" w14:textId="24EC0996" w:rsidR="00AE7D3C" w:rsidRPr="00AE7D3C" w:rsidRDefault="002945A5" w:rsidP="007A6AE8">
            <w:pPr>
              <w:pStyle w:val="Lijstalinea"/>
              <w:numPr>
                <w:ilvl w:val="0"/>
                <w:numId w:val="8"/>
              </w:numPr>
              <w:autoSpaceDE w:val="0"/>
              <w:autoSpaceDN w:val="0"/>
              <w:adjustRightInd w:val="0"/>
              <w:spacing w:after="0" w:line="240" w:lineRule="auto"/>
              <w:rPr>
                <w:rFonts w:cs="Calibri"/>
                <w:sz w:val="20"/>
                <w:szCs w:val="20"/>
              </w:rPr>
            </w:pPr>
            <w:r>
              <w:rPr>
                <w:rFonts w:asciiTheme="minorHAnsi" w:hAnsiTheme="minorHAnsi"/>
                <w:sz w:val="20"/>
                <w:szCs w:val="20"/>
              </w:rPr>
              <w:t>W</w:t>
            </w:r>
            <w:r w:rsidR="001F1A51" w:rsidRPr="002945A5">
              <w:rPr>
                <w:rFonts w:asciiTheme="minorHAnsi" w:hAnsiTheme="minorHAnsi"/>
                <w:sz w:val="20"/>
                <w:szCs w:val="20"/>
              </w:rPr>
              <w:t xml:space="preserve">e stellen </w:t>
            </w:r>
            <w:r w:rsidR="00CE5F73" w:rsidRPr="002945A5">
              <w:rPr>
                <w:rFonts w:asciiTheme="minorHAnsi" w:hAnsiTheme="minorHAnsi"/>
                <w:sz w:val="20"/>
                <w:szCs w:val="20"/>
              </w:rPr>
              <w:t xml:space="preserve">daarom </w:t>
            </w:r>
            <w:r w:rsidR="00C708E2" w:rsidRPr="002945A5">
              <w:rPr>
                <w:rFonts w:asciiTheme="minorHAnsi" w:hAnsiTheme="minorHAnsi"/>
                <w:sz w:val="20"/>
                <w:szCs w:val="20"/>
              </w:rPr>
              <w:t xml:space="preserve">voor </w:t>
            </w:r>
            <w:r w:rsidR="001F1A51" w:rsidRPr="002945A5">
              <w:rPr>
                <w:rFonts w:asciiTheme="minorHAnsi" w:hAnsiTheme="minorHAnsi"/>
                <w:sz w:val="20"/>
                <w:szCs w:val="20"/>
              </w:rPr>
              <w:t>het maximum uurtarief op €125,- of €1.200</w:t>
            </w:r>
            <w:proofErr w:type="gramStart"/>
            <w:r w:rsidR="001F1A51" w:rsidRPr="002945A5">
              <w:rPr>
                <w:rFonts w:asciiTheme="minorHAnsi" w:hAnsiTheme="minorHAnsi"/>
                <w:sz w:val="20"/>
                <w:szCs w:val="20"/>
              </w:rPr>
              <w:t>,-</w:t>
            </w:r>
            <w:proofErr w:type="gramEnd"/>
            <w:r w:rsidR="001F1A51" w:rsidRPr="002945A5">
              <w:rPr>
                <w:rFonts w:asciiTheme="minorHAnsi" w:hAnsiTheme="minorHAnsi"/>
                <w:sz w:val="20"/>
                <w:szCs w:val="20"/>
              </w:rPr>
              <w:t xml:space="preserve"> per dag als maximale richtli</w:t>
            </w:r>
            <w:r w:rsidR="00A63150" w:rsidRPr="002945A5">
              <w:rPr>
                <w:rFonts w:asciiTheme="minorHAnsi" w:hAnsiTheme="minorHAnsi"/>
                <w:sz w:val="20"/>
                <w:szCs w:val="20"/>
              </w:rPr>
              <w:t>jn</w:t>
            </w:r>
            <w:r w:rsidR="00C708E2" w:rsidRPr="002945A5">
              <w:rPr>
                <w:rFonts w:asciiTheme="minorHAnsi" w:hAnsiTheme="minorHAnsi"/>
                <w:sz w:val="20"/>
                <w:szCs w:val="20"/>
              </w:rPr>
              <w:t xml:space="preserve"> te hanteren</w:t>
            </w:r>
            <w:r w:rsidR="00F93BF0">
              <w:rPr>
                <w:rFonts w:asciiTheme="minorHAnsi" w:hAnsiTheme="minorHAnsi"/>
                <w:sz w:val="20"/>
                <w:szCs w:val="20"/>
              </w:rPr>
              <w:t>, waarbij</w:t>
            </w:r>
            <w:r w:rsidR="00B64416" w:rsidRPr="002945A5">
              <w:rPr>
                <w:rFonts w:asciiTheme="minorHAnsi" w:hAnsiTheme="minorHAnsi"/>
                <w:sz w:val="20"/>
                <w:szCs w:val="20"/>
              </w:rPr>
              <w:t xml:space="preserve"> het maximum van € 178.</w:t>
            </w:r>
            <w:r w:rsidR="00F93BF0">
              <w:rPr>
                <w:rFonts w:asciiTheme="minorHAnsi" w:hAnsiTheme="minorHAnsi"/>
                <w:sz w:val="20"/>
                <w:szCs w:val="20"/>
              </w:rPr>
              <w:t>000 op jaarbasis</w:t>
            </w:r>
            <w:r w:rsidR="00AE7D3C">
              <w:rPr>
                <w:rFonts w:asciiTheme="minorHAnsi" w:hAnsiTheme="minorHAnsi"/>
                <w:sz w:val="20"/>
                <w:szCs w:val="20"/>
              </w:rPr>
              <w:t xml:space="preserve"> </w:t>
            </w:r>
            <w:r w:rsidR="00F93BF0">
              <w:rPr>
                <w:rFonts w:asciiTheme="minorHAnsi" w:hAnsiTheme="minorHAnsi"/>
                <w:sz w:val="20"/>
                <w:szCs w:val="20"/>
              </w:rPr>
              <w:t>niet mag worden</w:t>
            </w:r>
            <w:r w:rsidR="00B64416" w:rsidRPr="002945A5">
              <w:rPr>
                <w:rFonts w:asciiTheme="minorHAnsi" w:hAnsiTheme="minorHAnsi"/>
                <w:sz w:val="20"/>
                <w:szCs w:val="20"/>
              </w:rPr>
              <w:t xml:space="preserve"> overschreden.</w:t>
            </w:r>
            <w:r w:rsidR="007A6AE8" w:rsidRPr="002945A5">
              <w:rPr>
                <w:rFonts w:asciiTheme="minorHAnsi" w:hAnsiTheme="minorHAnsi"/>
                <w:sz w:val="20"/>
                <w:szCs w:val="20"/>
              </w:rPr>
              <w:t xml:space="preserve"> </w:t>
            </w:r>
          </w:p>
          <w:p w14:paraId="21EC8C70" w14:textId="142909DB" w:rsidR="001F1A51" w:rsidRPr="00AE7D3C" w:rsidRDefault="007A6AE8" w:rsidP="00AE7D3C">
            <w:pPr>
              <w:pStyle w:val="Lijstalinea"/>
              <w:numPr>
                <w:ilvl w:val="0"/>
                <w:numId w:val="8"/>
              </w:numPr>
              <w:autoSpaceDE w:val="0"/>
              <w:autoSpaceDN w:val="0"/>
              <w:adjustRightInd w:val="0"/>
              <w:spacing w:after="0" w:line="240" w:lineRule="auto"/>
              <w:rPr>
                <w:rFonts w:cs="Calibri"/>
                <w:sz w:val="20"/>
                <w:szCs w:val="20"/>
              </w:rPr>
            </w:pPr>
            <w:r w:rsidRPr="002945A5">
              <w:rPr>
                <w:rFonts w:asciiTheme="minorHAnsi" w:hAnsiTheme="minorHAnsi"/>
                <w:sz w:val="20"/>
                <w:szCs w:val="20"/>
              </w:rPr>
              <w:t>Het is aan de gemeente om te sleutelen aan</w:t>
            </w:r>
            <w:r w:rsidR="001C294E">
              <w:rPr>
                <w:rFonts w:asciiTheme="minorHAnsi" w:hAnsiTheme="minorHAnsi"/>
                <w:sz w:val="20"/>
                <w:szCs w:val="20"/>
              </w:rPr>
              <w:t xml:space="preserve"> de</w:t>
            </w:r>
            <w:r w:rsidRPr="002945A5">
              <w:rPr>
                <w:rFonts w:asciiTheme="minorHAnsi" w:hAnsiTheme="minorHAnsi"/>
                <w:sz w:val="20"/>
                <w:szCs w:val="20"/>
              </w:rPr>
              <w:t xml:space="preserve"> inzet van uren, uurtarief of beiden om te zorgen dat het jaartarief van externe inhuur per contract</w:t>
            </w:r>
            <w:r w:rsidR="002945A5">
              <w:rPr>
                <w:rFonts w:asciiTheme="minorHAnsi" w:hAnsiTheme="minorHAnsi"/>
                <w:sz w:val="20"/>
                <w:szCs w:val="20"/>
              </w:rPr>
              <w:t>(</w:t>
            </w:r>
            <w:proofErr w:type="spellStart"/>
            <w:r w:rsidRPr="002945A5">
              <w:rPr>
                <w:rFonts w:asciiTheme="minorHAnsi" w:hAnsiTheme="minorHAnsi"/>
                <w:sz w:val="20"/>
                <w:szCs w:val="20"/>
              </w:rPr>
              <w:t>ant</w:t>
            </w:r>
            <w:proofErr w:type="spellEnd"/>
            <w:r w:rsidR="002945A5">
              <w:rPr>
                <w:rFonts w:asciiTheme="minorHAnsi" w:hAnsiTheme="minorHAnsi"/>
                <w:sz w:val="20"/>
                <w:szCs w:val="20"/>
              </w:rPr>
              <w:t>)</w:t>
            </w:r>
            <w:r w:rsidRPr="002945A5">
              <w:rPr>
                <w:rFonts w:asciiTheme="minorHAnsi" w:hAnsiTheme="minorHAnsi"/>
                <w:sz w:val="20"/>
                <w:szCs w:val="20"/>
              </w:rPr>
              <w:t xml:space="preserve"> niet boven de jaarnorm van € 178.000 komt. </w:t>
            </w:r>
          </w:p>
          <w:p w14:paraId="17531BFD" w14:textId="77777777" w:rsidR="00B97E96" w:rsidRDefault="00B97E96" w:rsidP="0022112B">
            <w:pPr>
              <w:autoSpaceDE w:val="0"/>
              <w:autoSpaceDN w:val="0"/>
              <w:adjustRightInd w:val="0"/>
              <w:spacing w:line="240" w:lineRule="auto"/>
              <w:rPr>
                <w:rFonts w:cs="Calibri"/>
                <w:sz w:val="20"/>
                <w:szCs w:val="20"/>
              </w:rPr>
            </w:pPr>
          </w:p>
          <w:p w14:paraId="1E729157" w14:textId="25DC4F8A" w:rsidR="0022112B" w:rsidRPr="00B97E96" w:rsidRDefault="00B97E96" w:rsidP="0022112B">
            <w:pPr>
              <w:autoSpaceDE w:val="0"/>
              <w:autoSpaceDN w:val="0"/>
              <w:adjustRightInd w:val="0"/>
              <w:spacing w:line="240" w:lineRule="auto"/>
              <w:rPr>
                <w:rFonts w:asciiTheme="minorHAnsi" w:hAnsiTheme="minorHAnsi" w:cs="Calibri"/>
                <w:b/>
                <w:sz w:val="20"/>
                <w:szCs w:val="20"/>
              </w:rPr>
            </w:pPr>
            <w:r w:rsidRPr="00B97E96">
              <w:rPr>
                <w:rFonts w:asciiTheme="minorHAnsi" w:hAnsiTheme="minorHAnsi" w:cs="Calibri"/>
                <w:b/>
                <w:sz w:val="20"/>
                <w:szCs w:val="20"/>
              </w:rPr>
              <w:t xml:space="preserve">Consequenties </w:t>
            </w:r>
            <w:r w:rsidR="0022112B" w:rsidRPr="00B97E96">
              <w:rPr>
                <w:rFonts w:asciiTheme="minorHAnsi" w:hAnsiTheme="minorHAnsi" w:cs="Calibri"/>
                <w:b/>
                <w:sz w:val="20"/>
                <w:szCs w:val="20"/>
              </w:rPr>
              <w:t>voor de Gedragscode Externe Inhuur</w:t>
            </w:r>
          </w:p>
          <w:p w14:paraId="635B3C84" w14:textId="0CAFE047" w:rsidR="00B55BBC" w:rsidRPr="00D569A5" w:rsidRDefault="00B55BBC" w:rsidP="00B55BBC">
            <w:pPr>
              <w:rPr>
                <w:rFonts w:asciiTheme="minorHAnsi" w:hAnsiTheme="minorHAnsi"/>
                <w:sz w:val="20"/>
                <w:szCs w:val="20"/>
              </w:rPr>
            </w:pPr>
            <w:r>
              <w:rPr>
                <w:rFonts w:asciiTheme="minorHAnsi" w:hAnsiTheme="minorHAnsi"/>
                <w:sz w:val="20"/>
                <w:szCs w:val="20"/>
              </w:rPr>
              <w:t>O</w:t>
            </w:r>
            <w:r w:rsidR="00EF087B">
              <w:rPr>
                <w:rFonts w:asciiTheme="minorHAnsi" w:hAnsiTheme="minorHAnsi"/>
                <w:sz w:val="20"/>
                <w:szCs w:val="20"/>
              </w:rPr>
              <w:t>mdat er bij behandeling van het initiatiefvoorstel</w:t>
            </w:r>
            <w:r>
              <w:rPr>
                <w:rFonts w:asciiTheme="minorHAnsi" w:hAnsiTheme="minorHAnsi"/>
                <w:sz w:val="20"/>
                <w:szCs w:val="20"/>
              </w:rPr>
              <w:t xml:space="preserve"> in de gemeenteraad</w:t>
            </w:r>
            <w:r w:rsidR="00FB1162">
              <w:rPr>
                <w:rFonts w:asciiTheme="minorHAnsi" w:hAnsiTheme="minorHAnsi"/>
                <w:sz w:val="20"/>
                <w:szCs w:val="20"/>
              </w:rPr>
              <w:t xml:space="preserve"> dd 1 april vragen waren ove</w:t>
            </w:r>
            <w:r w:rsidR="0022112B">
              <w:rPr>
                <w:rFonts w:asciiTheme="minorHAnsi" w:hAnsiTheme="minorHAnsi"/>
                <w:sz w:val="20"/>
                <w:szCs w:val="20"/>
              </w:rPr>
              <w:t>r het dag- en uurtarief</w:t>
            </w:r>
            <w:r w:rsidR="00FB1162">
              <w:rPr>
                <w:rFonts w:asciiTheme="minorHAnsi" w:hAnsiTheme="minorHAnsi"/>
                <w:sz w:val="20"/>
                <w:szCs w:val="20"/>
              </w:rPr>
              <w:t xml:space="preserve"> stellen wij de volgende</w:t>
            </w:r>
            <w:r w:rsidRPr="00D569A5">
              <w:rPr>
                <w:rFonts w:asciiTheme="minorHAnsi" w:hAnsiTheme="minorHAnsi"/>
                <w:sz w:val="20"/>
                <w:szCs w:val="20"/>
              </w:rPr>
              <w:t xml:space="preserve"> concrete </w:t>
            </w:r>
            <w:r w:rsidR="00AE7D3C">
              <w:rPr>
                <w:rFonts w:asciiTheme="minorHAnsi" w:hAnsiTheme="minorHAnsi"/>
                <w:sz w:val="20"/>
                <w:szCs w:val="20"/>
              </w:rPr>
              <w:t xml:space="preserve">tekstuele </w:t>
            </w:r>
            <w:r w:rsidRPr="00D569A5">
              <w:rPr>
                <w:rFonts w:asciiTheme="minorHAnsi" w:hAnsiTheme="minorHAnsi"/>
                <w:sz w:val="20"/>
                <w:szCs w:val="20"/>
              </w:rPr>
              <w:t>wijzigingen</w:t>
            </w:r>
            <w:r w:rsidR="00FB1162">
              <w:rPr>
                <w:rFonts w:asciiTheme="minorHAnsi" w:hAnsiTheme="minorHAnsi"/>
                <w:sz w:val="20"/>
                <w:szCs w:val="20"/>
              </w:rPr>
              <w:t xml:space="preserve"> voor als </w:t>
            </w:r>
            <w:r w:rsidR="00727968">
              <w:rPr>
                <w:rFonts w:asciiTheme="minorHAnsi" w:hAnsiTheme="minorHAnsi"/>
                <w:sz w:val="20"/>
                <w:szCs w:val="20"/>
              </w:rPr>
              <w:t xml:space="preserve">aanpassing </w:t>
            </w:r>
            <w:r w:rsidRPr="00D569A5">
              <w:rPr>
                <w:rFonts w:asciiTheme="minorHAnsi" w:hAnsiTheme="minorHAnsi"/>
                <w:sz w:val="20"/>
                <w:szCs w:val="20"/>
              </w:rPr>
              <w:t xml:space="preserve">van de </w:t>
            </w:r>
            <w:r w:rsidR="00813589">
              <w:rPr>
                <w:rFonts w:asciiTheme="minorHAnsi" w:hAnsiTheme="minorHAnsi"/>
                <w:sz w:val="20"/>
                <w:szCs w:val="20"/>
              </w:rPr>
              <w:t xml:space="preserve">gewijzigde </w:t>
            </w:r>
            <w:r w:rsidRPr="00D569A5">
              <w:rPr>
                <w:rFonts w:asciiTheme="minorHAnsi" w:hAnsiTheme="minorHAnsi"/>
                <w:sz w:val="20"/>
                <w:szCs w:val="20"/>
              </w:rPr>
              <w:t>Gedragscode Externe Inhuur:</w:t>
            </w:r>
          </w:p>
          <w:p w14:paraId="2E1B25A7" w14:textId="77777777" w:rsidR="00F13FE8" w:rsidRDefault="00AE03E6" w:rsidP="00B96B31">
            <w:pPr>
              <w:pStyle w:val="Lijstalinea"/>
              <w:numPr>
                <w:ilvl w:val="0"/>
                <w:numId w:val="11"/>
              </w:numPr>
              <w:spacing w:after="0" w:line="240" w:lineRule="auto"/>
              <w:rPr>
                <w:rFonts w:asciiTheme="minorHAnsi" w:hAnsiTheme="minorHAnsi"/>
                <w:sz w:val="20"/>
                <w:szCs w:val="20"/>
              </w:rPr>
            </w:pPr>
            <w:r>
              <w:rPr>
                <w:rFonts w:asciiTheme="minorHAnsi" w:hAnsiTheme="minorHAnsi"/>
                <w:sz w:val="20"/>
                <w:szCs w:val="20"/>
              </w:rPr>
              <w:t>Op pagina 3</w:t>
            </w:r>
            <w:r w:rsidR="00C40CF0">
              <w:rPr>
                <w:rFonts w:asciiTheme="minorHAnsi" w:hAnsiTheme="minorHAnsi"/>
                <w:sz w:val="20"/>
                <w:szCs w:val="20"/>
              </w:rPr>
              <w:t xml:space="preserve"> dient</w:t>
            </w:r>
            <w:r w:rsidR="00B55BBC" w:rsidRPr="00D569A5">
              <w:rPr>
                <w:rFonts w:asciiTheme="minorHAnsi" w:hAnsiTheme="minorHAnsi"/>
                <w:sz w:val="20"/>
                <w:szCs w:val="20"/>
              </w:rPr>
              <w:t xml:space="preserve"> </w:t>
            </w:r>
            <w:r w:rsidR="00F13FE8">
              <w:rPr>
                <w:rFonts w:asciiTheme="minorHAnsi" w:hAnsiTheme="minorHAnsi"/>
                <w:sz w:val="20"/>
                <w:szCs w:val="20"/>
              </w:rPr>
              <w:t>bij de zin “Het betreft vier soorten van inhuur</w:t>
            </w:r>
            <w:proofErr w:type="gramStart"/>
            <w:r w:rsidR="00F13FE8">
              <w:rPr>
                <w:rFonts w:asciiTheme="minorHAnsi" w:hAnsiTheme="minorHAnsi"/>
                <w:sz w:val="20"/>
                <w:szCs w:val="20"/>
              </w:rPr>
              <w:t>..</w:t>
            </w:r>
            <w:proofErr w:type="gramEnd"/>
            <w:r w:rsidR="00F13FE8">
              <w:rPr>
                <w:rFonts w:asciiTheme="minorHAnsi" w:hAnsiTheme="minorHAnsi"/>
                <w:sz w:val="20"/>
                <w:szCs w:val="20"/>
              </w:rPr>
              <w:t xml:space="preserve">” </w:t>
            </w:r>
            <w:r w:rsidR="00C40CF0">
              <w:rPr>
                <w:rFonts w:asciiTheme="minorHAnsi" w:hAnsiTheme="minorHAnsi"/>
                <w:sz w:val="20"/>
                <w:szCs w:val="20"/>
              </w:rPr>
              <w:t>het maximale uurtarief</w:t>
            </w:r>
            <w:r w:rsidR="00B55BBC" w:rsidRPr="00D569A5">
              <w:rPr>
                <w:rFonts w:asciiTheme="minorHAnsi" w:hAnsiTheme="minorHAnsi"/>
                <w:sz w:val="20"/>
                <w:szCs w:val="20"/>
              </w:rPr>
              <w:t xml:space="preserve"> </w:t>
            </w:r>
            <w:r w:rsidR="00C40CF0">
              <w:rPr>
                <w:rFonts w:asciiTheme="minorHAnsi" w:hAnsiTheme="minorHAnsi"/>
                <w:sz w:val="20"/>
                <w:szCs w:val="20"/>
              </w:rPr>
              <w:t xml:space="preserve">verlaagd te worden van € 150,00 </w:t>
            </w:r>
            <w:r w:rsidR="00B55BBC" w:rsidRPr="00D569A5">
              <w:rPr>
                <w:rFonts w:asciiTheme="minorHAnsi" w:hAnsiTheme="minorHAnsi"/>
                <w:sz w:val="20"/>
                <w:szCs w:val="20"/>
              </w:rPr>
              <w:t>naar € 125,00</w:t>
            </w:r>
            <w:r w:rsidR="00F13FE8">
              <w:rPr>
                <w:rFonts w:asciiTheme="minorHAnsi" w:hAnsiTheme="minorHAnsi"/>
                <w:sz w:val="20"/>
                <w:szCs w:val="20"/>
              </w:rPr>
              <w:t xml:space="preserve"> per uur. Tevens dient het woord “Europese aanbestedingsgrens</w:t>
            </w:r>
            <w:proofErr w:type="gramStart"/>
            <w:r w:rsidR="00F13FE8">
              <w:rPr>
                <w:rFonts w:asciiTheme="minorHAnsi" w:hAnsiTheme="minorHAnsi"/>
                <w:sz w:val="20"/>
                <w:szCs w:val="20"/>
              </w:rPr>
              <w:t>”</w:t>
            </w:r>
            <w:proofErr w:type="gramEnd"/>
            <w:r w:rsidR="00F13FE8">
              <w:rPr>
                <w:rFonts w:asciiTheme="minorHAnsi" w:hAnsiTheme="minorHAnsi"/>
                <w:sz w:val="20"/>
                <w:szCs w:val="20"/>
              </w:rPr>
              <w:t xml:space="preserve"> vervangen te worden door “Amsterdamse norm van </w:t>
            </w:r>
          </w:p>
          <w:p w14:paraId="60F90F78" w14:textId="4714B790" w:rsidR="00813589" w:rsidRPr="00F13FE8" w:rsidRDefault="00F13FE8" w:rsidP="00F13FE8">
            <w:pPr>
              <w:pStyle w:val="Lijstalinea"/>
              <w:spacing w:after="0" w:line="240" w:lineRule="auto"/>
              <w:rPr>
                <w:rFonts w:asciiTheme="minorHAnsi" w:hAnsiTheme="minorHAnsi"/>
                <w:sz w:val="20"/>
                <w:szCs w:val="20"/>
              </w:rPr>
            </w:pPr>
            <w:r>
              <w:rPr>
                <w:rFonts w:asciiTheme="minorHAnsi" w:hAnsiTheme="minorHAnsi"/>
                <w:sz w:val="20"/>
                <w:szCs w:val="20"/>
              </w:rPr>
              <w:lastRenderedPageBreak/>
              <w:t xml:space="preserve">€ 178.000,00”. </w:t>
            </w:r>
          </w:p>
          <w:p w14:paraId="7EDD307B" w14:textId="29DB2682" w:rsidR="00880A18" w:rsidRPr="00236D9E" w:rsidRDefault="00880A18" w:rsidP="00236D9E">
            <w:pPr>
              <w:pStyle w:val="Lijstalinea"/>
              <w:numPr>
                <w:ilvl w:val="0"/>
                <w:numId w:val="11"/>
              </w:numPr>
              <w:spacing w:after="0" w:line="240" w:lineRule="auto"/>
              <w:rPr>
                <w:rFonts w:asciiTheme="minorHAnsi" w:hAnsiTheme="minorHAnsi"/>
                <w:sz w:val="20"/>
                <w:szCs w:val="20"/>
              </w:rPr>
            </w:pPr>
            <w:r>
              <w:rPr>
                <w:rFonts w:asciiTheme="minorHAnsi" w:hAnsiTheme="minorHAnsi"/>
                <w:sz w:val="20"/>
                <w:szCs w:val="20"/>
              </w:rPr>
              <w:t>Op pagina 6</w:t>
            </w:r>
            <w:r w:rsidR="00F13FE8">
              <w:rPr>
                <w:rFonts w:asciiTheme="minorHAnsi" w:hAnsiTheme="minorHAnsi"/>
                <w:sz w:val="20"/>
                <w:szCs w:val="20"/>
              </w:rPr>
              <w:t>, 1</w:t>
            </w:r>
            <w:r w:rsidR="00F13FE8" w:rsidRPr="00F13FE8">
              <w:rPr>
                <w:rFonts w:asciiTheme="minorHAnsi" w:hAnsiTheme="minorHAnsi"/>
                <w:sz w:val="20"/>
                <w:szCs w:val="20"/>
                <w:vertAlign w:val="superscript"/>
              </w:rPr>
              <w:t>e</w:t>
            </w:r>
            <w:r w:rsidR="00F13FE8">
              <w:rPr>
                <w:rFonts w:asciiTheme="minorHAnsi" w:hAnsiTheme="minorHAnsi"/>
                <w:sz w:val="20"/>
                <w:szCs w:val="20"/>
              </w:rPr>
              <w:t xml:space="preserve"> alinea wordt het maximumuurtarief genoemd van €150,00. Dit moet worden verlaagd naar €125,00. Verder </w:t>
            </w:r>
            <w:r w:rsidRPr="00D569A5">
              <w:rPr>
                <w:rFonts w:asciiTheme="minorHAnsi" w:hAnsiTheme="minorHAnsi"/>
                <w:sz w:val="20"/>
                <w:szCs w:val="20"/>
              </w:rPr>
              <w:t xml:space="preserve">wordt gesproken </w:t>
            </w:r>
            <w:r w:rsidR="00A16BCD">
              <w:rPr>
                <w:rFonts w:asciiTheme="minorHAnsi" w:hAnsiTheme="minorHAnsi"/>
                <w:sz w:val="20"/>
                <w:szCs w:val="20"/>
              </w:rPr>
              <w:t xml:space="preserve">over </w:t>
            </w:r>
            <w:r>
              <w:rPr>
                <w:rFonts w:asciiTheme="minorHAnsi" w:hAnsiTheme="minorHAnsi"/>
                <w:sz w:val="20"/>
                <w:szCs w:val="20"/>
              </w:rPr>
              <w:t xml:space="preserve">het maximum jaartarief van € 200.000,00. De zin </w:t>
            </w:r>
            <w:r w:rsidR="00A16BCD">
              <w:rPr>
                <w:rFonts w:asciiTheme="minorHAnsi" w:hAnsiTheme="minorHAnsi"/>
                <w:sz w:val="20"/>
                <w:szCs w:val="20"/>
              </w:rPr>
              <w:t>“</w:t>
            </w:r>
            <w:r>
              <w:rPr>
                <w:rFonts w:asciiTheme="minorHAnsi" w:hAnsiTheme="minorHAnsi"/>
                <w:sz w:val="20"/>
                <w:szCs w:val="20"/>
              </w:rPr>
              <w:t>Deze tarieven</w:t>
            </w:r>
            <w:proofErr w:type="gramStart"/>
            <w:r>
              <w:rPr>
                <w:rFonts w:asciiTheme="minorHAnsi" w:hAnsiTheme="minorHAnsi"/>
                <w:sz w:val="20"/>
                <w:szCs w:val="20"/>
              </w:rPr>
              <w:t>..</w:t>
            </w:r>
            <w:proofErr w:type="gramEnd"/>
            <w:r>
              <w:rPr>
                <w:rFonts w:asciiTheme="minorHAnsi" w:hAnsiTheme="minorHAnsi"/>
                <w:sz w:val="20"/>
                <w:szCs w:val="20"/>
              </w:rPr>
              <w:t xml:space="preserve"> t/m mag uitkomen” moet vervangen worden door de </w:t>
            </w:r>
            <w:r w:rsidR="00F13FE8">
              <w:rPr>
                <w:rFonts w:asciiTheme="minorHAnsi" w:hAnsiTheme="minorHAnsi"/>
                <w:sz w:val="20"/>
                <w:szCs w:val="20"/>
              </w:rPr>
              <w:t>t</w:t>
            </w:r>
            <w:r>
              <w:rPr>
                <w:rFonts w:asciiTheme="minorHAnsi" w:hAnsiTheme="minorHAnsi"/>
                <w:sz w:val="20"/>
                <w:szCs w:val="20"/>
              </w:rPr>
              <w:t xml:space="preserve">ekstwijziging: “Deze tarieven worden toegepast met inachtneming van de bestaande inhuurregel dat de totale contractwaarde van inhuurcontracten niet boven de </w:t>
            </w:r>
            <w:r w:rsidRPr="00B73D6C">
              <w:rPr>
                <w:rFonts w:asciiTheme="minorHAnsi" w:hAnsiTheme="minorHAnsi"/>
                <w:sz w:val="20"/>
                <w:szCs w:val="20"/>
              </w:rPr>
              <w:t>Amsterdamse norm</w:t>
            </w:r>
            <w:r>
              <w:rPr>
                <w:rFonts w:asciiTheme="minorHAnsi" w:hAnsiTheme="minorHAnsi"/>
                <w:sz w:val="20"/>
                <w:szCs w:val="20"/>
              </w:rPr>
              <w:t xml:space="preserve"> van €178.000</w:t>
            </w:r>
            <w:r>
              <w:rPr>
                <w:rFonts w:asciiTheme="minorHAnsi" w:hAnsiTheme="minorHAnsi"/>
                <w:sz w:val="20"/>
                <w:szCs w:val="20"/>
              </w:rPr>
              <w:t xml:space="preserve"> mag uitkomen”</w:t>
            </w:r>
            <w:r w:rsidR="00A16BCD">
              <w:rPr>
                <w:rFonts w:asciiTheme="minorHAnsi" w:hAnsiTheme="minorHAnsi"/>
                <w:sz w:val="20"/>
                <w:szCs w:val="20"/>
              </w:rPr>
              <w:t>. Bijbehorende voetnoot 1 mag komen te vervallen, want deze is niet meer relevant.</w:t>
            </w:r>
          </w:p>
          <w:p w14:paraId="70FDDBFC" w14:textId="77777777" w:rsidR="00A475D4" w:rsidRPr="00236D9E" w:rsidRDefault="00A475D4" w:rsidP="00A475D4">
            <w:pPr>
              <w:pStyle w:val="Lijstalinea"/>
              <w:numPr>
                <w:ilvl w:val="0"/>
                <w:numId w:val="11"/>
              </w:numPr>
              <w:spacing w:after="0" w:line="240" w:lineRule="auto"/>
              <w:rPr>
                <w:rFonts w:asciiTheme="minorHAnsi" w:hAnsiTheme="minorHAnsi"/>
                <w:sz w:val="20"/>
                <w:szCs w:val="20"/>
              </w:rPr>
            </w:pPr>
            <w:r w:rsidRPr="00D569A5">
              <w:rPr>
                <w:rFonts w:asciiTheme="minorHAnsi" w:hAnsiTheme="minorHAnsi"/>
                <w:sz w:val="20"/>
                <w:szCs w:val="20"/>
              </w:rPr>
              <w:t xml:space="preserve">Pagina 7, </w:t>
            </w:r>
            <w:proofErr w:type="spellStart"/>
            <w:r w:rsidRPr="00D569A5">
              <w:rPr>
                <w:rFonts w:asciiTheme="minorHAnsi" w:hAnsiTheme="minorHAnsi"/>
                <w:sz w:val="20"/>
                <w:szCs w:val="20"/>
              </w:rPr>
              <w:t>bullit</w:t>
            </w:r>
            <w:proofErr w:type="spellEnd"/>
            <w:r>
              <w:rPr>
                <w:rFonts w:asciiTheme="minorHAnsi" w:hAnsiTheme="minorHAnsi"/>
                <w:sz w:val="20"/>
                <w:szCs w:val="20"/>
              </w:rPr>
              <w:t xml:space="preserve"> 5. Het woord “Europese aanbestedingsgrens” dient te worden vervangen door “Amsterdamse norm van € 178.000”.</w:t>
            </w:r>
          </w:p>
          <w:p w14:paraId="7D912DC5" w14:textId="07215BBF" w:rsidR="00B55BBC" w:rsidRDefault="00B55BBC" w:rsidP="00B96B31">
            <w:pPr>
              <w:pStyle w:val="Lijstalinea"/>
              <w:numPr>
                <w:ilvl w:val="0"/>
                <w:numId w:val="11"/>
              </w:numPr>
              <w:spacing w:after="0" w:line="240" w:lineRule="auto"/>
              <w:rPr>
                <w:rFonts w:asciiTheme="minorHAnsi" w:hAnsiTheme="minorHAnsi"/>
                <w:sz w:val="20"/>
                <w:szCs w:val="20"/>
              </w:rPr>
            </w:pPr>
            <w:r w:rsidRPr="00D569A5">
              <w:rPr>
                <w:rFonts w:asciiTheme="minorHAnsi" w:hAnsiTheme="minorHAnsi"/>
                <w:sz w:val="20"/>
                <w:szCs w:val="20"/>
              </w:rPr>
              <w:t xml:space="preserve">Pagina 7, </w:t>
            </w:r>
            <w:proofErr w:type="spellStart"/>
            <w:r w:rsidRPr="00D569A5">
              <w:rPr>
                <w:rFonts w:asciiTheme="minorHAnsi" w:hAnsiTheme="minorHAnsi"/>
                <w:sz w:val="20"/>
                <w:szCs w:val="20"/>
              </w:rPr>
              <w:t>bullit</w:t>
            </w:r>
            <w:proofErr w:type="spellEnd"/>
            <w:r w:rsidR="00A16BCD">
              <w:rPr>
                <w:rFonts w:asciiTheme="minorHAnsi" w:hAnsiTheme="minorHAnsi"/>
                <w:sz w:val="20"/>
                <w:szCs w:val="20"/>
              </w:rPr>
              <w:t xml:space="preserve"> 5</w:t>
            </w:r>
            <w:r w:rsidR="00B73D6C">
              <w:rPr>
                <w:rFonts w:asciiTheme="minorHAnsi" w:hAnsiTheme="minorHAnsi"/>
                <w:sz w:val="20"/>
                <w:szCs w:val="20"/>
              </w:rPr>
              <w:t xml:space="preserve">. </w:t>
            </w:r>
            <w:r w:rsidRPr="00B73D6C">
              <w:rPr>
                <w:rFonts w:asciiTheme="minorHAnsi" w:hAnsiTheme="minorHAnsi"/>
                <w:sz w:val="20"/>
                <w:szCs w:val="20"/>
              </w:rPr>
              <w:t>Het bedrag dat hier wordt genoemd van €</w:t>
            </w:r>
            <w:r w:rsidR="00B73D6C">
              <w:rPr>
                <w:rFonts w:asciiTheme="minorHAnsi" w:hAnsiTheme="minorHAnsi"/>
                <w:sz w:val="20"/>
                <w:szCs w:val="20"/>
              </w:rPr>
              <w:t xml:space="preserve">150,00 dient te worden gewijzigd </w:t>
            </w:r>
            <w:r w:rsidRPr="00B73D6C">
              <w:rPr>
                <w:rFonts w:asciiTheme="minorHAnsi" w:hAnsiTheme="minorHAnsi"/>
                <w:sz w:val="20"/>
                <w:szCs w:val="20"/>
              </w:rPr>
              <w:t>naar €125,00.</w:t>
            </w:r>
          </w:p>
          <w:p w14:paraId="0A505B29" w14:textId="05CBD240" w:rsidR="00A475D4" w:rsidRPr="00A475D4" w:rsidRDefault="00A475D4" w:rsidP="00A475D4">
            <w:pPr>
              <w:pStyle w:val="Lijstalinea"/>
              <w:numPr>
                <w:ilvl w:val="0"/>
                <w:numId w:val="11"/>
              </w:numPr>
              <w:spacing w:after="0" w:line="240" w:lineRule="auto"/>
              <w:rPr>
                <w:rFonts w:asciiTheme="minorHAnsi" w:hAnsiTheme="minorHAnsi"/>
                <w:sz w:val="20"/>
                <w:szCs w:val="20"/>
              </w:rPr>
            </w:pPr>
            <w:r w:rsidRPr="00D569A5">
              <w:rPr>
                <w:rFonts w:asciiTheme="minorHAnsi" w:hAnsiTheme="minorHAnsi"/>
                <w:sz w:val="20"/>
                <w:szCs w:val="20"/>
              </w:rPr>
              <w:t xml:space="preserve">Pagina 7, </w:t>
            </w:r>
            <w:proofErr w:type="spellStart"/>
            <w:r w:rsidRPr="00D569A5">
              <w:rPr>
                <w:rFonts w:asciiTheme="minorHAnsi" w:hAnsiTheme="minorHAnsi"/>
                <w:sz w:val="20"/>
                <w:szCs w:val="20"/>
              </w:rPr>
              <w:t>bullit</w:t>
            </w:r>
            <w:proofErr w:type="spellEnd"/>
            <w:r>
              <w:rPr>
                <w:rFonts w:asciiTheme="minorHAnsi" w:hAnsiTheme="minorHAnsi"/>
                <w:sz w:val="20"/>
                <w:szCs w:val="20"/>
              </w:rPr>
              <w:t xml:space="preserve"> 6</w:t>
            </w:r>
            <w:r>
              <w:rPr>
                <w:rFonts w:asciiTheme="minorHAnsi" w:hAnsiTheme="minorHAnsi"/>
                <w:sz w:val="20"/>
                <w:szCs w:val="20"/>
              </w:rPr>
              <w:t>. Het woord “Europese aanbestedingsgrens” dient te worden vervangen door “Amsterdamse norm van € 178.000”.</w:t>
            </w:r>
          </w:p>
          <w:p w14:paraId="6B7FD2C2" w14:textId="0433260C" w:rsidR="00A16BCD" w:rsidRPr="00A16BCD" w:rsidRDefault="00A16BCD" w:rsidP="00A16BCD">
            <w:pPr>
              <w:pStyle w:val="Lijstalinea"/>
              <w:numPr>
                <w:ilvl w:val="0"/>
                <w:numId w:val="11"/>
              </w:numPr>
              <w:spacing w:after="0" w:line="240" w:lineRule="auto"/>
              <w:rPr>
                <w:rFonts w:asciiTheme="minorHAnsi" w:hAnsiTheme="minorHAnsi"/>
                <w:sz w:val="20"/>
                <w:szCs w:val="20"/>
              </w:rPr>
            </w:pPr>
            <w:r w:rsidRPr="00D569A5">
              <w:rPr>
                <w:rFonts w:asciiTheme="minorHAnsi" w:hAnsiTheme="minorHAnsi"/>
                <w:sz w:val="20"/>
                <w:szCs w:val="20"/>
              </w:rPr>
              <w:t xml:space="preserve">Pagina 7, </w:t>
            </w:r>
            <w:proofErr w:type="spellStart"/>
            <w:r w:rsidRPr="00D569A5">
              <w:rPr>
                <w:rFonts w:asciiTheme="minorHAnsi" w:hAnsiTheme="minorHAnsi"/>
                <w:sz w:val="20"/>
                <w:szCs w:val="20"/>
              </w:rPr>
              <w:t>bullit</w:t>
            </w:r>
            <w:proofErr w:type="spellEnd"/>
            <w:r>
              <w:rPr>
                <w:rFonts w:asciiTheme="minorHAnsi" w:hAnsiTheme="minorHAnsi"/>
                <w:sz w:val="20"/>
                <w:szCs w:val="20"/>
              </w:rPr>
              <w:t xml:space="preserve"> 7. Het woord “Europese aanbestedingsdrempel” dient te worden vervangen door “Amsterdamse norm van € 178.000”</w:t>
            </w:r>
          </w:p>
          <w:p w14:paraId="333AD0FE" w14:textId="5D6BBA57" w:rsidR="00A16BCD" w:rsidRDefault="00A16BCD" w:rsidP="00A16BCD">
            <w:pPr>
              <w:pStyle w:val="Lijstalinea"/>
              <w:numPr>
                <w:ilvl w:val="0"/>
                <w:numId w:val="11"/>
              </w:numPr>
              <w:spacing w:after="0" w:line="240" w:lineRule="auto"/>
              <w:rPr>
                <w:rFonts w:asciiTheme="minorHAnsi" w:hAnsiTheme="minorHAnsi"/>
                <w:sz w:val="20"/>
                <w:szCs w:val="20"/>
              </w:rPr>
            </w:pPr>
            <w:r w:rsidRPr="00D569A5">
              <w:rPr>
                <w:rFonts w:asciiTheme="minorHAnsi" w:hAnsiTheme="minorHAnsi"/>
                <w:sz w:val="20"/>
                <w:szCs w:val="20"/>
              </w:rPr>
              <w:t xml:space="preserve">Pagina 7, </w:t>
            </w:r>
            <w:proofErr w:type="spellStart"/>
            <w:r w:rsidRPr="00D569A5">
              <w:rPr>
                <w:rFonts w:asciiTheme="minorHAnsi" w:hAnsiTheme="minorHAnsi"/>
                <w:sz w:val="20"/>
                <w:szCs w:val="20"/>
              </w:rPr>
              <w:t>bullit</w:t>
            </w:r>
            <w:proofErr w:type="spellEnd"/>
            <w:r>
              <w:rPr>
                <w:rFonts w:asciiTheme="minorHAnsi" w:hAnsiTheme="minorHAnsi"/>
                <w:sz w:val="20"/>
                <w:szCs w:val="20"/>
              </w:rPr>
              <w:t xml:space="preserve"> 7</w:t>
            </w:r>
            <w:r>
              <w:rPr>
                <w:rFonts w:asciiTheme="minorHAnsi" w:hAnsiTheme="minorHAnsi"/>
                <w:sz w:val="20"/>
                <w:szCs w:val="20"/>
              </w:rPr>
              <w:t xml:space="preserve">. </w:t>
            </w:r>
            <w:r w:rsidRPr="00B73D6C">
              <w:rPr>
                <w:rFonts w:asciiTheme="minorHAnsi" w:hAnsiTheme="minorHAnsi"/>
                <w:sz w:val="20"/>
                <w:szCs w:val="20"/>
              </w:rPr>
              <w:t>Het bedrag dat hier wordt genoemd van €</w:t>
            </w:r>
            <w:r>
              <w:rPr>
                <w:rFonts w:asciiTheme="minorHAnsi" w:hAnsiTheme="minorHAnsi"/>
                <w:sz w:val="20"/>
                <w:szCs w:val="20"/>
              </w:rPr>
              <w:t xml:space="preserve">150,00 dient te worden gewijzigd </w:t>
            </w:r>
            <w:r w:rsidRPr="00B73D6C">
              <w:rPr>
                <w:rFonts w:asciiTheme="minorHAnsi" w:hAnsiTheme="minorHAnsi"/>
                <w:sz w:val="20"/>
                <w:szCs w:val="20"/>
              </w:rPr>
              <w:t>naar €125,00.</w:t>
            </w:r>
          </w:p>
          <w:p w14:paraId="3CD00039" w14:textId="00DD11DE" w:rsidR="00236D9E" w:rsidRDefault="00813589" w:rsidP="00A16BCD">
            <w:pPr>
              <w:pStyle w:val="Lijstalinea"/>
              <w:numPr>
                <w:ilvl w:val="0"/>
                <w:numId w:val="11"/>
              </w:numPr>
              <w:spacing w:after="0" w:line="240" w:lineRule="auto"/>
              <w:rPr>
                <w:rFonts w:asciiTheme="minorHAnsi" w:hAnsiTheme="minorHAnsi"/>
                <w:sz w:val="20"/>
                <w:szCs w:val="20"/>
              </w:rPr>
            </w:pPr>
            <w:r>
              <w:rPr>
                <w:rFonts w:asciiTheme="minorHAnsi" w:hAnsiTheme="minorHAnsi"/>
                <w:sz w:val="20"/>
                <w:szCs w:val="20"/>
              </w:rPr>
              <w:t>Op pagina 14, para</w:t>
            </w:r>
            <w:r w:rsidR="00236D9E">
              <w:rPr>
                <w:rFonts w:asciiTheme="minorHAnsi" w:hAnsiTheme="minorHAnsi"/>
                <w:sz w:val="20"/>
                <w:szCs w:val="20"/>
              </w:rPr>
              <w:t xml:space="preserve">graaf h. </w:t>
            </w:r>
            <w:r w:rsidR="00FE0EB7">
              <w:rPr>
                <w:rFonts w:asciiTheme="minorHAnsi" w:hAnsiTheme="minorHAnsi"/>
                <w:sz w:val="20"/>
                <w:szCs w:val="20"/>
              </w:rPr>
              <w:t>kopje “</w:t>
            </w:r>
            <w:r w:rsidR="00236D9E">
              <w:rPr>
                <w:rFonts w:asciiTheme="minorHAnsi" w:hAnsiTheme="minorHAnsi"/>
                <w:sz w:val="20"/>
                <w:szCs w:val="20"/>
              </w:rPr>
              <w:t>Instemming directeur dienst</w:t>
            </w:r>
            <w:r w:rsidR="00FE0EB7">
              <w:rPr>
                <w:rFonts w:asciiTheme="minorHAnsi" w:hAnsiTheme="minorHAnsi"/>
                <w:sz w:val="20"/>
                <w:szCs w:val="20"/>
              </w:rPr>
              <w:t>”</w:t>
            </w:r>
            <w:r w:rsidR="00236D9E">
              <w:rPr>
                <w:rFonts w:asciiTheme="minorHAnsi" w:hAnsiTheme="minorHAnsi"/>
                <w:sz w:val="20"/>
                <w:szCs w:val="20"/>
              </w:rPr>
              <w:t>. Het woord “Europ</w:t>
            </w:r>
            <w:r w:rsidR="00A475D4">
              <w:rPr>
                <w:rFonts w:asciiTheme="minorHAnsi" w:hAnsiTheme="minorHAnsi"/>
                <w:sz w:val="20"/>
                <w:szCs w:val="20"/>
              </w:rPr>
              <w:t>e</w:t>
            </w:r>
            <w:r w:rsidR="00236D9E">
              <w:rPr>
                <w:rFonts w:asciiTheme="minorHAnsi" w:hAnsiTheme="minorHAnsi"/>
                <w:sz w:val="20"/>
                <w:szCs w:val="20"/>
              </w:rPr>
              <w:t>se aanbestedingsgrens</w:t>
            </w:r>
            <w:proofErr w:type="gramStart"/>
            <w:r w:rsidR="00236D9E">
              <w:rPr>
                <w:rFonts w:asciiTheme="minorHAnsi" w:hAnsiTheme="minorHAnsi"/>
                <w:sz w:val="20"/>
                <w:szCs w:val="20"/>
              </w:rPr>
              <w:t>”</w:t>
            </w:r>
            <w:proofErr w:type="gramEnd"/>
            <w:r w:rsidR="00236D9E">
              <w:rPr>
                <w:rFonts w:asciiTheme="minorHAnsi" w:hAnsiTheme="minorHAnsi"/>
                <w:sz w:val="20"/>
                <w:szCs w:val="20"/>
              </w:rPr>
              <w:t xml:space="preserve"> dient te worden vervangen door “</w:t>
            </w:r>
            <w:r w:rsidR="00236D9E">
              <w:rPr>
                <w:rFonts w:asciiTheme="minorHAnsi" w:hAnsiTheme="minorHAnsi"/>
                <w:sz w:val="20"/>
                <w:szCs w:val="20"/>
              </w:rPr>
              <w:t xml:space="preserve">Amsterdamse norm van </w:t>
            </w:r>
          </w:p>
          <w:p w14:paraId="4C5CFE6C" w14:textId="3C033443" w:rsidR="00236D9E" w:rsidRDefault="00236D9E" w:rsidP="00236D9E">
            <w:pPr>
              <w:pStyle w:val="Lijstalinea"/>
              <w:spacing w:after="0" w:line="240" w:lineRule="auto"/>
              <w:rPr>
                <w:rFonts w:asciiTheme="minorHAnsi" w:hAnsiTheme="minorHAnsi"/>
                <w:sz w:val="20"/>
                <w:szCs w:val="20"/>
              </w:rPr>
            </w:pPr>
            <w:r>
              <w:rPr>
                <w:rFonts w:asciiTheme="minorHAnsi" w:hAnsiTheme="minorHAnsi"/>
                <w:sz w:val="20"/>
                <w:szCs w:val="20"/>
              </w:rPr>
              <w:t>€ 178.000”.</w:t>
            </w:r>
            <w:r>
              <w:rPr>
                <w:rFonts w:asciiTheme="minorHAnsi" w:hAnsiTheme="minorHAnsi"/>
                <w:sz w:val="20"/>
                <w:szCs w:val="20"/>
              </w:rPr>
              <w:t xml:space="preserve"> Het uurtarief dat hier genoemd wordt van “€150,00” dient te worden vervangen door “€125,00”.</w:t>
            </w:r>
            <w:r w:rsidR="00813589">
              <w:rPr>
                <w:rFonts w:asciiTheme="minorHAnsi" w:hAnsiTheme="minorHAnsi"/>
                <w:sz w:val="20"/>
                <w:szCs w:val="20"/>
              </w:rPr>
              <w:t xml:space="preserve"> In de laatste zin “Boven de Europese aanbestedingsdrempel</w:t>
            </w:r>
            <w:proofErr w:type="gramStart"/>
            <w:r w:rsidR="00813589">
              <w:rPr>
                <w:rFonts w:asciiTheme="minorHAnsi" w:hAnsiTheme="minorHAnsi"/>
                <w:sz w:val="20"/>
                <w:szCs w:val="20"/>
              </w:rPr>
              <w:t>..</w:t>
            </w:r>
            <w:proofErr w:type="gramEnd"/>
            <w:r w:rsidR="00FE0EB7">
              <w:rPr>
                <w:rFonts w:asciiTheme="minorHAnsi" w:hAnsiTheme="minorHAnsi"/>
                <w:sz w:val="20"/>
                <w:szCs w:val="20"/>
              </w:rPr>
              <w:t xml:space="preserve"> </w:t>
            </w:r>
            <w:r w:rsidR="00813589">
              <w:rPr>
                <w:rFonts w:asciiTheme="minorHAnsi" w:hAnsiTheme="minorHAnsi"/>
                <w:sz w:val="20"/>
                <w:szCs w:val="20"/>
              </w:rPr>
              <w:t>t/m…het college”, dienen de woorden “Europese aanbestedingsdrempel” te worden vervangen door “Amsterdamse norm van € 178.000,00”.</w:t>
            </w:r>
          </w:p>
          <w:p w14:paraId="30958DC1" w14:textId="347712F6" w:rsidR="00FE0EB7" w:rsidRPr="00FE0EB7" w:rsidRDefault="00FE0EB7" w:rsidP="00FE0EB7">
            <w:pPr>
              <w:pStyle w:val="Lijstalinea"/>
              <w:numPr>
                <w:ilvl w:val="0"/>
                <w:numId w:val="11"/>
              </w:numPr>
              <w:spacing w:after="0" w:line="240" w:lineRule="auto"/>
              <w:rPr>
                <w:rFonts w:asciiTheme="minorHAnsi" w:hAnsiTheme="minorHAnsi"/>
                <w:sz w:val="20"/>
                <w:szCs w:val="20"/>
              </w:rPr>
            </w:pPr>
            <w:r>
              <w:rPr>
                <w:rFonts w:asciiTheme="minorHAnsi" w:hAnsiTheme="minorHAnsi"/>
                <w:sz w:val="20"/>
                <w:szCs w:val="20"/>
              </w:rPr>
              <w:t>Op pagina 14, para</w:t>
            </w:r>
            <w:r>
              <w:rPr>
                <w:rFonts w:asciiTheme="minorHAnsi" w:hAnsiTheme="minorHAnsi"/>
                <w:sz w:val="20"/>
                <w:szCs w:val="20"/>
              </w:rPr>
              <w:t>graaf i</w:t>
            </w:r>
            <w:r>
              <w:rPr>
                <w:rFonts w:asciiTheme="minorHAnsi" w:hAnsiTheme="minorHAnsi"/>
                <w:sz w:val="20"/>
                <w:szCs w:val="20"/>
              </w:rPr>
              <w:t xml:space="preserve">. kopje “Instemming </w:t>
            </w:r>
            <w:proofErr w:type="spellStart"/>
            <w:r>
              <w:rPr>
                <w:rFonts w:asciiTheme="minorHAnsi" w:hAnsiTheme="minorHAnsi"/>
                <w:sz w:val="20"/>
                <w:szCs w:val="20"/>
              </w:rPr>
              <w:t>vakwethouder</w:t>
            </w:r>
            <w:proofErr w:type="spellEnd"/>
            <w:r>
              <w:rPr>
                <w:rFonts w:asciiTheme="minorHAnsi" w:hAnsiTheme="minorHAnsi"/>
                <w:sz w:val="20"/>
                <w:szCs w:val="20"/>
              </w:rPr>
              <w:t xml:space="preserve"> en college</w:t>
            </w:r>
            <w:r>
              <w:rPr>
                <w:rFonts w:asciiTheme="minorHAnsi" w:hAnsiTheme="minorHAnsi"/>
                <w:sz w:val="20"/>
                <w:szCs w:val="20"/>
              </w:rPr>
              <w:t xml:space="preserve">”. Het woord “Europese aanbestedingsgrens” dient te worden vervangen door “Amsterdamse norm van </w:t>
            </w:r>
            <w:r w:rsidRPr="00FE0EB7">
              <w:rPr>
                <w:rFonts w:asciiTheme="minorHAnsi" w:hAnsiTheme="minorHAnsi"/>
                <w:sz w:val="20"/>
                <w:szCs w:val="20"/>
              </w:rPr>
              <w:t>€ 178.000”.</w:t>
            </w:r>
          </w:p>
          <w:p w14:paraId="756B0E34" w14:textId="77777777" w:rsidR="009F06E3" w:rsidRDefault="009F06E3" w:rsidP="009F06E3">
            <w:pPr>
              <w:autoSpaceDE w:val="0"/>
              <w:autoSpaceDN w:val="0"/>
              <w:adjustRightInd w:val="0"/>
              <w:spacing w:line="240" w:lineRule="auto"/>
              <w:rPr>
                <w:rFonts w:asciiTheme="minorHAnsi" w:hAnsiTheme="minorHAnsi" w:cs="Calibri"/>
                <w:sz w:val="20"/>
                <w:szCs w:val="20"/>
              </w:rPr>
            </w:pPr>
          </w:p>
          <w:p w14:paraId="274563F3" w14:textId="62606277" w:rsidR="00A55996" w:rsidRPr="00D569A5" w:rsidRDefault="009B54B9" w:rsidP="00A55996">
            <w:pPr>
              <w:rPr>
                <w:rFonts w:asciiTheme="minorHAnsi" w:hAnsiTheme="minorHAnsi"/>
                <w:b/>
                <w:sz w:val="20"/>
                <w:szCs w:val="20"/>
              </w:rPr>
            </w:pPr>
            <w:r>
              <w:rPr>
                <w:rFonts w:asciiTheme="minorHAnsi" w:hAnsiTheme="minorHAnsi"/>
                <w:b/>
                <w:sz w:val="20"/>
                <w:szCs w:val="20"/>
              </w:rPr>
              <w:t>Resumerend</w:t>
            </w:r>
          </w:p>
          <w:p w14:paraId="6F28FB6D" w14:textId="0A475DF9" w:rsidR="004A0CBF" w:rsidRPr="008C7DCD" w:rsidRDefault="00A55996" w:rsidP="008C7DCD">
            <w:pPr>
              <w:rPr>
                <w:rFonts w:asciiTheme="minorHAnsi" w:hAnsiTheme="minorHAnsi"/>
                <w:sz w:val="20"/>
                <w:szCs w:val="20"/>
              </w:rPr>
            </w:pPr>
            <w:r>
              <w:rPr>
                <w:rFonts w:asciiTheme="minorHAnsi" w:hAnsiTheme="minorHAnsi"/>
                <w:sz w:val="20"/>
                <w:szCs w:val="20"/>
              </w:rPr>
              <w:t>Op deze manier legt het voorstel</w:t>
            </w:r>
            <w:r w:rsidRPr="00D569A5">
              <w:rPr>
                <w:rFonts w:asciiTheme="minorHAnsi" w:hAnsiTheme="minorHAnsi"/>
                <w:sz w:val="20"/>
                <w:szCs w:val="20"/>
              </w:rPr>
              <w:t xml:space="preserve"> drie </w:t>
            </w:r>
            <w:r>
              <w:rPr>
                <w:rFonts w:asciiTheme="minorHAnsi" w:hAnsiTheme="minorHAnsi"/>
                <w:sz w:val="20"/>
                <w:szCs w:val="20"/>
              </w:rPr>
              <w:t xml:space="preserve">concrete </w:t>
            </w:r>
            <w:r w:rsidRPr="00D569A5">
              <w:rPr>
                <w:rFonts w:asciiTheme="minorHAnsi" w:hAnsiTheme="minorHAnsi"/>
                <w:sz w:val="20"/>
                <w:szCs w:val="20"/>
              </w:rPr>
              <w:t xml:space="preserve">begrenzingen op aan externe </w:t>
            </w:r>
            <w:proofErr w:type="gramStart"/>
            <w:r w:rsidRPr="00D569A5">
              <w:rPr>
                <w:rFonts w:asciiTheme="minorHAnsi" w:hAnsiTheme="minorHAnsi"/>
                <w:sz w:val="20"/>
                <w:szCs w:val="20"/>
              </w:rPr>
              <w:t>inhuur</w:t>
            </w:r>
            <w:proofErr w:type="gramEnd"/>
            <w:r w:rsidRPr="00D569A5">
              <w:rPr>
                <w:rFonts w:asciiTheme="minorHAnsi" w:hAnsiTheme="minorHAnsi"/>
                <w:sz w:val="20"/>
                <w:szCs w:val="20"/>
              </w:rPr>
              <w:t>: allereerst door een bovengrens aan te brengen van €178.000</w:t>
            </w:r>
            <w:r>
              <w:rPr>
                <w:rFonts w:asciiTheme="minorHAnsi" w:hAnsiTheme="minorHAnsi"/>
                <w:sz w:val="20"/>
                <w:szCs w:val="20"/>
              </w:rPr>
              <w:t xml:space="preserve"> op jaarbasis en daarnaast een </w:t>
            </w:r>
            <w:r w:rsidRPr="00D569A5">
              <w:rPr>
                <w:rFonts w:asciiTheme="minorHAnsi" w:hAnsiTheme="minorHAnsi"/>
                <w:sz w:val="20"/>
                <w:szCs w:val="20"/>
              </w:rPr>
              <w:t>maximum van €1</w:t>
            </w:r>
            <w:r>
              <w:rPr>
                <w:rFonts w:asciiTheme="minorHAnsi" w:hAnsiTheme="minorHAnsi"/>
                <w:sz w:val="20"/>
                <w:szCs w:val="20"/>
              </w:rPr>
              <w:t>.</w:t>
            </w:r>
            <w:r w:rsidRPr="00D569A5">
              <w:rPr>
                <w:rFonts w:asciiTheme="minorHAnsi" w:hAnsiTheme="minorHAnsi"/>
                <w:sz w:val="20"/>
                <w:szCs w:val="20"/>
              </w:rPr>
              <w:t xml:space="preserve">200 per dag en €125,00 per </w:t>
            </w:r>
            <w:r w:rsidR="009B54B9">
              <w:rPr>
                <w:rFonts w:asciiTheme="minorHAnsi" w:hAnsiTheme="minorHAnsi"/>
                <w:sz w:val="20"/>
                <w:szCs w:val="20"/>
              </w:rPr>
              <w:t>uur.</w:t>
            </w:r>
          </w:p>
        </w:tc>
      </w:tr>
    </w:tbl>
    <w:p w14:paraId="1AB457D4" w14:textId="77777777" w:rsidR="008942F2" w:rsidRPr="00CE5D7A" w:rsidRDefault="008942F2">
      <w:pPr>
        <w:widowControl w:val="0"/>
        <w:rPr>
          <w:rFonts w:ascii="Calibri" w:hAnsi="Calibri" w:cs="Arial"/>
          <w:sz w:val="20"/>
          <w:szCs w:val="20"/>
        </w:rPr>
      </w:pPr>
    </w:p>
    <w:tbl>
      <w:tblPr>
        <w:tblW w:w="0" w:type="auto"/>
        <w:tblInd w:w="-2211" w:type="dxa"/>
        <w:tblBorders>
          <w:top w:val="single" w:sz="18" w:space="0" w:color="auto"/>
        </w:tblBorders>
        <w:tblLayout w:type="fixed"/>
        <w:tblCellMar>
          <w:left w:w="0" w:type="dxa"/>
          <w:right w:w="0" w:type="dxa"/>
        </w:tblCellMar>
        <w:tblLook w:val="0000" w:firstRow="0" w:lastRow="0" w:firstColumn="0" w:lastColumn="0" w:noHBand="0" w:noVBand="0"/>
      </w:tblPr>
      <w:tblGrid>
        <w:gridCol w:w="2211"/>
        <w:gridCol w:w="7993"/>
      </w:tblGrid>
      <w:tr w:rsidR="008942F2" w:rsidRPr="00CE5D7A" w14:paraId="6716F233" w14:textId="77777777">
        <w:trPr>
          <w:trHeight w:hRule="exact" w:val="397"/>
        </w:trPr>
        <w:tc>
          <w:tcPr>
            <w:tcW w:w="2211" w:type="dxa"/>
            <w:tcBorders>
              <w:top w:val="nil"/>
            </w:tcBorders>
          </w:tcPr>
          <w:p w14:paraId="139A245A" w14:textId="77777777" w:rsidR="008942F2" w:rsidRPr="00CE5D7A" w:rsidRDefault="008942F2">
            <w:pPr>
              <w:pStyle w:val="ReferentiegegevensRegular"/>
              <w:widowControl w:val="0"/>
              <w:rPr>
                <w:rFonts w:ascii="Calibri" w:hAnsi="Calibri" w:cs="Arial"/>
                <w:sz w:val="20"/>
                <w:szCs w:val="20"/>
              </w:rPr>
            </w:pPr>
          </w:p>
        </w:tc>
        <w:tc>
          <w:tcPr>
            <w:tcW w:w="7993" w:type="dxa"/>
          </w:tcPr>
          <w:p w14:paraId="1B715D59" w14:textId="77777777" w:rsidR="008942F2" w:rsidRPr="00CE5D7A" w:rsidRDefault="008942F2">
            <w:pPr>
              <w:pStyle w:val="Kopmetlijn"/>
              <w:widowControl w:val="0"/>
              <w:spacing w:line="270" w:lineRule="exact"/>
              <w:rPr>
                <w:rFonts w:ascii="Calibri" w:hAnsi="Calibri" w:cs="Arial"/>
                <w:sz w:val="20"/>
                <w:szCs w:val="20"/>
              </w:rPr>
            </w:pPr>
            <w:r w:rsidRPr="00CE5D7A">
              <w:rPr>
                <w:rFonts w:ascii="Calibri" w:hAnsi="Calibri" w:cs="Arial"/>
                <w:sz w:val="20"/>
                <w:szCs w:val="20"/>
              </w:rPr>
              <w:t>Stukken</w:t>
            </w:r>
          </w:p>
        </w:tc>
      </w:tr>
      <w:tr w:rsidR="008942F2" w:rsidRPr="00CE5D7A" w14:paraId="08D5569B" w14:textId="77777777">
        <w:trPr>
          <w:trHeight w:hRule="exact" w:val="20"/>
        </w:trPr>
        <w:tc>
          <w:tcPr>
            <w:tcW w:w="2211" w:type="dxa"/>
          </w:tcPr>
          <w:p w14:paraId="76568AAE" w14:textId="77777777" w:rsidR="008942F2" w:rsidRPr="00CE5D7A" w:rsidRDefault="008942F2">
            <w:pPr>
              <w:pStyle w:val="ReferentiegegevensRegular"/>
              <w:widowControl w:val="0"/>
              <w:rPr>
                <w:rFonts w:ascii="Calibri" w:hAnsi="Calibri" w:cs="Arial"/>
                <w:sz w:val="20"/>
                <w:szCs w:val="20"/>
              </w:rPr>
            </w:pPr>
          </w:p>
        </w:tc>
        <w:tc>
          <w:tcPr>
            <w:tcW w:w="7993" w:type="dxa"/>
          </w:tcPr>
          <w:p w14:paraId="71133496" w14:textId="77777777" w:rsidR="008942F2" w:rsidRPr="00CE5D7A" w:rsidRDefault="008942F2">
            <w:pPr>
              <w:widowControl w:val="0"/>
              <w:rPr>
                <w:rFonts w:ascii="Calibri" w:hAnsi="Calibri" w:cs="Arial"/>
                <w:sz w:val="20"/>
                <w:szCs w:val="20"/>
              </w:rPr>
            </w:pPr>
          </w:p>
        </w:tc>
      </w:tr>
      <w:tr w:rsidR="008942F2" w:rsidRPr="00CE5D7A" w14:paraId="231DB938" w14:textId="77777777">
        <w:trPr>
          <w:trHeight w:val="284"/>
        </w:trPr>
        <w:tc>
          <w:tcPr>
            <w:tcW w:w="2211" w:type="dxa"/>
          </w:tcPr>
          <w:p w14:paraId="7B683260" w14:textId="77777777" w:rsidR="008942F2" w:rsidRPr="00CE5D7A" w:rsidRDefault="008942F2">
            <w:pPr>
              <w:pStyle w:val="ReferentiegegevensRegular"/>
              <w:widowControl w:val="0"/>
              <w:rPr>
                <w:rFonts w:ascii="Calibri" w:hAnsi="Calibri" w:cs="Arial"/>
                <w:sz w:val="20"/>
                <w:szCs w:val="20"/>
              </w:rPr>
            </w:pPr>
            <w:r w:rsidRPr="00CE5D7A">
              <w:rPr>
                <w:rFonts w:ascii="Calibri" w:hAnsi="Calibri" w:cs="Arial"/>
                <w:sz w:val="20"/>
                <w:szCs w:val="20"/>
              </w:rPr>
              <w:t>Meegestuurd</w:t>
            </w:r>
          </w:p>
        </w:tc>
        <w:tc>
          <w:tcPr>
            <w:tcW w:w="7993" w:type="dxa"/>
          </w:tcPr>
          <w:p w14:paraId="6761844F" w14:textId="77777777" w:rsidR="008942F2" w:rsidRPr="00CE5D7A" w:rsidRDefault="00791580">
            <w:pPr>
              <w:widowControl w:val="0"/>
              <w:tabs>
                <w:tab w:val="left" w:pos="284"/>
              </w:tabs>
              <w:rPr>
                <w:rFonts w:ascii="Calibri" w:hAnsi="Calibri" w:cs="Arial"/>
                <w:sz w:val="20"/>
                <w:szCs w:val="20"/>
              </w:rPr>
            </w:pPr>
            <w:r w:rsidRPr="00CE5D7A">
              <w:rPr>
                <w:rFonts w:ascii="Calibri" w:hAnsi="Calibri" w:cs="Arial"/>
                <w:sz w:val="20"/>
                <w:szCs w:val="20"/>
              </w:rPr>
              <w:t>&lt;</w:t>
            </w:r>
            <w:r w:rsidRPr="00CE5D7A">
              <w:rPr>
                <w:rFonts w:ascii="Calibri" w:hAnsi="Calibri" w:cs="Arial"/>
                <w:b/>
                <w:sz w:val="20"/>
                <w:szCs w:val="20"/>
              </w:rPr>
              <w:t>6</w:t>
            </w:r>
            <w:r w:rsidRPr="00CE5D7A">
              <w:rPr>
                <w:rFonts w:ascii="Calibri" w:hAnsi="Calibri" w:cs="Arial"/>
                <w:sz w:val="20"/>
                <w:szCs w:val="20"/>
              </w:rPr>
              <w:t>&gt;</w:t>
            </w:r>
          </w:p>
        </w:tc>
      </w:tr>
      <w:tr w:rsidR="008942F2" w:rsidRPr="00CE5D7A" w14:paraId="5251BA42" w14:textId="77777777">
        <w:trPr>
          <w:trHeight w:val="284"/>
        </w:trPr>
        <w:tc>
          <w:tcPr>
            <w:tcW w:w="2211" w:type="dxa"/>
          </w:tcPr>
          <w:p w14:paraId="4657701C" w14:textId="77777777" w:rsidR="008942F2" w:rsidRPr="00CE5D7A" w:rsidRDefault="008942F2">
            <w:pPr>
              <w:pStyle w:val="ReferentiegegevensRegular"/>
              <w:widowControl w:val="0"/>
              <w:rPr>
                <w:rFonts w:ascii="Calibri" w:hAnsi="Calibri" w:cs="Arial"/>
                <w:sz w:val="20"/>
                <w:szCs w:val="20"/>
              </w:rPr>
            </w:pPr>
            <w:r w:rsidRPr="00CE5D7A">
              <w:rPr>
                <w:rFonts w:ascii="Calibri" w:hAnsi="Calibri" w:cs="Arial"/>
                <w:sz w:val="20"/>
                <w:szCs w:val="20"/>
              </w:rPr>
              <w:t>Ter inzage gelegd</w:t>
            </w:r>
          </w:p>
        </w:tc>
        <w:tc>
          <w:tcPr>
            <w:tcW w:w="7993" w:type="dxa"/>
          </w:tcPr>
          <w:p w14:paraId="2374C90D" w14:textId="77777777" w:rsidR="008942F2" w:rsidRPr="00CE5D7A" w:rsidRDefault="004A0CBF">
            <w:pPr>
              <w:widowControl w:val="0"/>
              <w:tabs>
                <w:tab w:val="left" w:pos="284"/>
              </w:tabs>
              <w:rPr>
                <w:rFonts w:ascii="Calibri" w:hAnsi="Calibri" w:cs="Arial"/>
                <w:sz w:val="20"/>
                <w:szCs w:val="20"/>
              </w:rPr>
            </w:pPr>
            <w:r w:rsidRPr="00CE5D7A">
              <w:rPr>
                <w:rFonts w:ascii="Calibri" w:hAnsi="Calibri" w:cs="Arial"/>
                <w:sz w:val="20"/>
                <w:szCs w:val="20"/>
              </w:rPr>
              <w:t>n.v.t.</w:t>
            </w:r>
          </w:p>
        </w:tc>
      </w:tr>
    </w:tbl>
    <w:p w14:paraId="24635B35" w14:textId="77777777" w:rsidR="008942F2" w:rsidRPr="00CE5D7A" w:rsidRDefault="008942F2">
      <w:pPr>
        <w:widowControl w:val="0"/>
        <w:rPr>
          <w:rFonts w:ascii="Calibri" w:hAnsi="Calibri" w:cs="Arial"/>
          <w:sz w:val="20"/>
          <w:szCs w:val="20"/>
        </w:rPr>
      </w:pPr>
    </w:p>
    <w:tbl>
      <w:tblPr>
        <w:tblW w:w="0" w:type="auto"/>
        <w:tblBorders>
          <w:top w:val="single" w:sz="18" w:space="0" w:color="auto"/>
        </w:tblBorders>
        <w:tblLayout w:type="fixed"/>
        <w:tblCellMar>
          <w:left w:w="0" w:type="dxa"/>
          <w:right w:w="0" w:type="dxa"/>
        </w:tblCellMar>
        <w:tblLook w:val="0000" w:firstRow="0" w:lastRow="0" w:firstColumn="0" w:lastColumn="0" w:noHBand="0" w:noVBand="0"/>
      </w:tblPr>
      <w:tblGrid>
        <w:gridCol w:w="3996"/>
        <w:gridCol w:w="3997"/>
      </w:tblGrid>
      <w:tr w:rsidR="008942F2" w:rsidRPr="00CE5D7A" w14:paraId="2D0BB181" w14:textId="77777777">
        <w:tc>
          <w:tcPr>
            <w:tcW w:w="7993" w:type="dxa"/>
            <w:gridSpan w:val="2"/>
            <w:tcBorders>
              <w:top w:val="single" w:sz="18" w:space="0" w:color="auto"/>
            </w:tcBorders>
          </w:tcPr>
          <w:p w14:paraId="12AEC2F1" w14:textId="77777777" w:rsidR="00CE5D7A" w:rsidRDefault="00CE5D7A">
            <w:pPr>
              <w:pStyle w:val="Kopmetlijn"/>
              <w:spacing w:line="270" w:lineRule="exact"/>
              <w:rPr>
                <w:rFonts w:ascii="Calibri" w:hAnsi="Calibri" w:cs="Arial"/>
                <w:bCs/>
                <w:sz w:val="20"/>
                <w:szCs w:val="20"/>
              </w:rPr>
            </w:pPr>
          </w:p>
          <w:p w14:paraId="5579645A" w14:textId="77777777" w:rsidR="008942F2" w:rsidRPr="00CE5D7A" w:rsidRDefault="00CE5D7A">
            <w:pPr>
              <w:pStyle w:val="Kopmetlijn"/>
              <w:spacing w:line="270" w:lineRule="exact"/>
              <w:rPr>
                <w:rFonts w:ascii="Calibri" w:hAnsi="Calibri" w:cs="Arial"/>
                <w:bCs/>
                <w:sz w:val="20"/>
                <w:szCs w:val="20"/>
              </w:rPr>
            </w:pPr>
            <w:r>
              <w:rPr>
                <w:rFonts w:ascii="Calibri" w:hAnsi="Calibri" w:cs="Arial"/>
                <w:bCs/>
                <w:sz w:val="20"/>
                <w:szCs w:val="20"/>
              </w:rPr>
              <w:t>De leden</w:t>
            </w:r>
            <w:r w:rsidR="004A0CBF" w:rsidRPr="00CE5D7A">
              <w:rPr>
                <w:rFonts w:ascii="Calibri" w:hAnsi="Calibri" w:cs="Arial"/>
                <w:bCs/>
                <w:sz w:val="20"/>
                <w:szCs w:val="20"/>
              </w:rPr>
              <w:t xml:space="preserve"> van de gemeenteraad</w:t>
            </w:r>
            <w:r w:rsidR="008942F2" w:rsidRPr="00CE5D7A">
              <w:rPr>
                <w:rFonts w:ascii="Calibri" w:hAnsi="Calibri" w:cs="Arial"/>
                <w:bCs/>
                <w:sz w:val="20"/>
                <w:szCs w:val="20"/>
              </w:rPr>
              <w:t xml:space="preserve"> van Amsterdam</w:t>
            </w:r>
          </w:p>
        </w:tc>
      </w:tr>
      <w:tr w:rsidR="008942F2" w:rsidRPr="00CE5D7A" w14:paraId="6E85E4DC" w14:textId="77777777">
        <w:trPr>
          <w:cantSplit/>
          <w:trHeight w:val="284"/>
        </w:trPr>
        <w:tc>
          <w:tcPr>
            <w:tcW w:w="3996" w:type="dxa"/>
            <w:tcBorders>
              <w:top w:val="nil"/>
            </w:tcBorders>
          </w:tcPr>
          <w:p w14:paraId="49B00F46" w14:textId="77777777" w:rsidR="00CE5D7A" w:rsidRPr="00CE5D7A" w:rsidRDefault="0012125F">
            <w:pPr>
              <w:pStyle w:val="Witregel"/>
              <w:widowControl w:val="0"/>
              <w:rPr>
                <w:rFonts w:ascii="Calibri" w:hAnsi="Calibri" w:cs="Arial"/>
                <w:sz w:val="20"/>
                <w:szCs w:val="20"/>
              </w:rPr>
            </w:pPr>
            <w:r>
              <w:rPr>
                <w:rFonts w:ascii="Calibri" w:hAnsi="Calibri" w:cs="Arial"/>
                <w:sz w:val="20"/>
                <w:szCs w:val="20"/>
              </w:rPr>
              <w:t>Dennis Boutkan (PvdA)</w:t>
            </w:r>
          </w:p>
        </w:tc>
        <w:tc>
          <w:tcPr>
            <w:tcW w:w="3997" w:type="dxa"/>
            <w:tcBorders>
              <w:top w:val="nil"/>
            </w:tcBorders>
          </w:tcPr>
          <w:p w14:paraId="0246BB23" w14:textId="77777777" w:rsidR="008942F2" w:rsidRPr="00CE5D7A" w:rsidRDefault="008942F2">
            <w:pPr>
              <w:pStyle w:val="Witregel"/>
              <w:widowControl w:val="0"/>
              <w:rPr>
                <w:rFonts w:ascii="Calibri" w:hAnsi="Calibri" w:cs="Arial"/>
                <w:sz w:val="20"/>
                <w:szCs w:val="20"/>
              </w:rPr>
            </w:pPr>
          </w:p>
        </w:tc>
      </w:tr>
      <w:tr w:rsidR="008942F2" w:rsidRPr="00CE5D7A" w14:paraId="2329BBCB" w14:textId="77777777">
        <w:trPr>
          <w:cantSplit/>
        </w:trPr>
        <w:tc>
          <w:tcPr>
            <w:tcW w:w="3996" w:type="dxa"/>
            <w:tcBorders>
              <w:top w:val="nil"/>
              <w:bottom w:val="nil"/>
            </w:tcBorders>
          </w:tcPr>
          <w:p w14:paraId="21A9C024" w14:textId="77777777" w:rsidR="004975EF" w:rsidRPr="00CE5D7A" w:rsidRDefault="004975EF" w:rsidP="007E5CE9">
            <w:pPr>
              <w:widowControl w:val="0"/>
              <w:tabs>
                <w:tab w:val="left" w:pos="284"/>
              </w:tabs>
              <w:rPr>
                <w:rFonts w:ascii="Calibri" w:hAnsi="Calibri" w:cs="Arial"/>
                <w:sz w:val="20"/>
                <w:szCs w:val="20"/>
              </w:rPr>
            </w:pPr>
          </w:p>
        </w:tc>
        <w:tc>
          <w:tcPr>
            <w:tcW w:w="3997" w:type="dxa"/>
            <w:tcBorders>
              <w:top w:val="nil"/>
              <w:bottom w:val="nil"/>
            </w:tcBorders>
          </w:tcPr>
          <w:p w14:paraId="083CE4FF" w14:textId="77777777" w:rsidR="008942F2" w:rsidRPr="00CE5D7A" w:rsidRDefault="008942F2">
            <w:pPr>
              <w:widowControl w:val="0"/>
              <w:tabs>
                <w:tab w:val="left" w:pos="284"/>
              </w:tabs>
              <w:rPr>
                <w:rFonts w:ascii="Calibri" w:hAnsi="Calibri" w:cs="Arial"/>
                <w:sz w:val="20"/>
                <w:szCs w:val="20"/>
              </w:rPr>
            </w:pPr>
          </w:p>
        </w:tc>
      </w:tr>
      <w:tr w:rsidR="008942F2" w:rsidRPr="00CE5D7A" w14:paraId="4A2DE3E1" w14:textId="77777777">
        <w:trPr>
          <w:cantSplit/>
          <w:trHeight w:val="454"/>
        </w:trPr>
        <w:tc>
          <w:tcPr>
            <w:tcW w:w="3996" w:type="dxa"/>
            <w:tcBorders>
              <w:top w:val="nil"/>
              <w:bottom w:val="single" w:sz="18" w:space="0" w:color="auto"/>
            </w:tcBorders>
          </w:tcPr>
          <w:p w14:paraId="13161438" w14:textId="77777777" w:rsidR="008942F2" w:rsidRPr="00CE5D7A" w:rsidRDefault="008942F2">
            <w:pPr>
              <w:widowControl w:val="0"/>
              <w:tabs>
                <w:tab w:val="left" w:pos="284"/>
              </w:tabs>
              <w:rPr>
                <w:rFonts w:ascii="Calibri" w:hAnsi="Calibri" w:cs="Arial"/>
                <w:sz w:val="20"/>
                <w:szCs w:val="20"/>
              </w:rPr>
            </w:pPr>
          </w:p>
        </w:tc>
        <w:tc>
          <w:tcPr>
            <w:tcW w:w="3997" w:type="dxa"/>
            <w:tcBorders>
              <w:top w:val="nil"/>
              <w:bottom w:val="single" w:sz="18" w:space="0" w:color="auto"/>
            </w:tcBorders>
          </w:tcPr>
          <w:p w14:paraId="51126808" w14:textId="77777777" w:rsidR="008942F2" w:rsidRPr="00CE5D7A" w:rsidRDefault="008942F2">
            <w:pPr>
              <w:widowControl w:val="0"/>
              <w:tabs>
                <w:tab w:val="left" w:pos="284"/>
              </w:tabs>
              <w:rPr>
                <w:rFonts w:ascii="Calibri" w:hAnsi="Calibri" w:cs="Arial"/>
                <w:sz w:val="20"/>
                <w:szCs w:val="20"/>
              </w:rPr>
            </w:pPr>
          </w:p>
        </w:tc>
      </w:tr>
    </w:tbl>
    <w:p w14:paraId="5D8C1AEF" w14:textId="77777777" w:rsidR="008942F2" w:rsidRPr="00CE5D7A" w:rsidRDefault="008942F2">
      <w:pPr>
        <w:widowControl w:val="0"/>
        <w:tabs>
          <w:tab w:val="left" w:pos="3405"/>
        </w:tabs>
        <w:rPr>
          <w:rFonts w:ascii="Calibri" w:hAnsi="Calibri" w:cs="Arial"/>
          <w:sz w:val="20"/>
          <w:szCs w:val="20"/>
        </w:rPr>
      </w:pPr>
    </w:p>
    <w:p w14:paraId="62F227C0" w14:textId="77777777" w:rsidR="002E4320" w:rsidRPr="00CE5D7A" w:rsidRDefault="00706DC9" w:rsidP="002E4320">
      <w:pPr>
        <w:pStyle w:val="Witregel"/>
        <w:spacing w:line="270" w:lineRule="exact"/>
        <w:rPr>
          <w:rFonts w:ascii="Calibri" w:hAnsi="Calibri" w:cs="Arial"/>
          <w:color w:val="808080"/>
          <w:sz w:val="20"/>
          <w:szCs w:val="20"/>
        </w:rPr>
      </w:pPr>
      <w:r>
        <w:rPr>
          <w:rFonts w:ascii="Calibri" w:hAnsi="Calibri" w:cs="Arial"/>
          <w:color w:val="808080"/>
          <w:sz w:val="20"/>
          <w:szCs w:val="20"/>
        </w:rPr>
        <w:pict w14:anchorId="0EEA71C1">
          <v:rect id="_x0000_i1025" style="width:0;height:1.5pt" o:hralign="center" o:hrstd="t" o:hr="t" fillcolor="gray" stroked="f"/>
        </w:pict>
      </w:r>
    </w:p>
    <w:p w14:paraId="7EEBE449" w14:textId="77777777" w:rsidR="002E4320" w:rsidRPr="00CE5D7A" w:rsidRDefault="002E4320" w:rsidP="002E4320">
      <w:pPr>
        <w:pStyle w:val="Witregel"/>
        <w:spacing w:line="270" w:lineRule="exact"/>
        <w:rPr>
          <w:rFonts w:ascii="Calibri" w:hAnsi="Calibri" w:cs="Arial"/>
          <w:color w:val="808080"/>
          <w:sz w:val="20"/>
          <w:szCs w:val="20"/>
        </w:rPr>
      </w:pPr>
      <w:r w:rsidRPr="00CE5D7A">
        <w:rPr>
          <w:rFonts w:ascii="Calibri" w:hAnsi="Calibri" w:cs="Arial"/>
          <w:color w:val="808080"/>
          <w:sz w:val="20"/>
          <w:szCs w:val="20"/>
        </w:rPr>
        <w:t xml:space="preserve">* De sterretjes worden door de </w:t>
      </w:r>
      <w:r w:rsidR="00791580" w:rsidRPr="00CE5D7A">
        <w:rPr>
          <w:rFonts w:ascii="Calibri" w:hAnsi="Calibri" w:cs="Arial"/>
          <w:color w:val="808080"/>
          <w:sz w:val="20"/>
          <w:szCs w:val="20"/>
        </w:rPr>
        <w:t>g</w:t>
      </w:r>
      <w:r w:rsidRPr="00CE5D7A">
        <w:rPr>
          <w:rFonts w:ascii="Calibri" w:hAnsi="Calibri" w:cs="Arial"/>
          <w:color w:val="808080"/>
          <w:sz w:val="20"/>
          <w:szCs w:val="20"/>
        </w:rPr>
        <w:t>riffie ingevuld</w:t>
      </w:r>
    </w:p>
    <w:p w14:paraId="3AA1C82B" w14:textId="77777777" w:rsidR="002E4320" w:rsidRPr="00CE5D7A" w:rsidRDefault="002E4320" w:rsidP="002E4320">
      <w:pPr>
        <w:pStyle w:val="Witregel"/>
        <w:tabs>
          <w:tab w:val="left" w:pos="4950"/>
        </w:tabs>
        <w:spacing w:line="270" w:lineRule="exact"/>
        <w:rPr>
          <w:rFonts w:ascii="Calibri" w:hAnsi="Calibri" w:cs="Arial"/>
          <w:color w:val="808080"/>
          <w:sz w:val="20"/>
          <w:szCs w:val="20"/>
        </w:rPr>
      </w:pPr>
      <w:r w:rsidRPr="00CE5D7A">
        <w:rPr>
          <w:rFonts w:ascii="Calibri" w:hAnsi="Calibri" w:cs="Arial"/>
          <w:color w:val="808080"/>
          <w:sz w:val="20"/>
          <w:szCs w:val="20"/>
        </w:rPr>
        <w:t>In te vullen door het raadslid/de fractie: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4"/>
        <w:gridCol w:w="4115"/>
      </w:tblGrid>
      <w:tr w:rsidR="00791580" w:rsidRPr="00CE50E1" w14:paraId="2988B86B" w14:textId="77777777" w:rsidTr="00CE50E1">
        <w:tc>
          <w:tcPr>
            <w:tcW w:w="4094" w:type="dxa"/>
            <w:shd w:val="clear" w:color="auto" w:fill="auto"/>
          </w:tcPr>
          <w:p w14:paraId="6B88F901" w14:textId="77777777" w:rsidR="00791580" w:rsidRPr="00CE50E1" w:rsidRDefault="00791580" w:rsidP="00CE50E1">
            <w:pPr>
              <w:pStyle w:val="Witregel"/>
              <w:numPr>
                <w:ilvl w:val="0"/>
                <w:numId w:val="6"/>
              </w:numPr>
              <w:spacing w:line="270" w:lineRule="exact"/>
              <w:rPr>
                <w:rFonts w:ascii="Calibri" w:hAnsi="Calibri" w:cs="Arial"/>
                <w:color w:val="808080"/>
                <w:sz w:val="20"/>
                <w:szCs w:val="20"/>
              </w:rPr>
            </w:pPr>
            <w:r w:rsidRPr="00CE50E1">
              <w:rPr>
                <w:rFonts w:ascii="Calibri" w:hAnsi="Calibri" w:cs="Arial"/>
                <w:color w:val="808080"/>
                <w:sz w:val="20"/>
                <w:szCs w:val="20"/>
              </w:rPr>
              <w:t>naam/namen van raadslid/-leden;</w:t>
            </w:r>
          </w:p>
          <w:p w14:paraId="00C57DF9" w14:textId="77777777" w:rsidR="00791580" w:rsidRPr="00CE50E1" w:rsidRDefault="00791580" w:rsidP="00CE50E1">
            <w:pPr>
              <w:pStyle w:val="Witregel"/>
              <w:numPr>
                <w:ilvl w:val="0"/>
                <w:numId w:val="6"/>
              </w:numPr>
              <w:spacing w:line="270" w:lineRule="exact"/>
              <w:rPr>
                <w:rFonts w:ascii="Calibri" w:hAnsi="Calibri" w:cs="Arial"/>
                <w:color w:val="808080"/>
                <w:sz w:val="20"/>
                <w:szCs w:val="20"/>
              </w:rPr>
            </w:pPr>
            <w:r w:rsidRPr="00CE50E1">
              <w:rPr>
                <w:rFonts w:ascii="Calibri" w:hAnsi="Calibri" w:cs="Arial"/>
                <w:color w:val="808080"/>
                <w:sz w:val="20"/>
                <w:szCs w:val="20"/>
              </w:rPr>
              <w:t>datum van indienen;</w:t>
            </w:r>
          </w:p>
          <w:p w14:paraId="337E6E6F" w14:textId="77777777" w:rsidR="00791580" w:rsidRPr="00CE50E1" w:rsidRDefault="00791580" w:rsidP="00CE50E1">
            <w:pPr>
              <w:pStyle w:val="Witregel"/>
              <w:numPr>
                <w:ilvl w:val="0"/>
                <w:numId w:val="6"/>
              </w:numPr>
              <w:spacing w:line="270" w:lineRule="exact"/>
              <w:rPr>
                <w:rFonts w:ascii="Calibri" w:hAnsi="Calibri" w:cs="Arial"/>
                <w:color w:val="808080"/>
                <w:sz w:val="20"/>
                <w:szCs w:val="20"/>
              </w:rPr>
            </w:pPr>
            <w:r w:rsidRPr="00CE50E1">
              <w:rPr>
                <w:rFonts w:ascii="Calibri" w:hAnsi="Calibri" w:cs="Arial"/>
                <w:color w:val="808080"/>
                <w:sz w:val="20"/>
                <w:szCs w:val="20"/>
              </w:rPr>
              <w:t>titel initiatiefvoorstel;</w:t>
            </w:r>
          </w:p>
        </w:tc>
        <w:tc>
          <w:tcPr>
            <w:tcW w:w="4115" w:type="dxa"/>
            <w:shd w:val="clear" w:color="auto" w:fill="auto"/>
          </w:tcPr>
          <w:p w14:paraId="145F5BEA" w14:textId="77777777" w:rsidR="00791580" w:rsidRPr="00CE50E1" w:rsidRDefault="00791580" w:rsidP="00CE50E1">
            <w:pPr>
              <w:pStyle w:val="Witregel"/>
              <w:numPr>
                <w:ilvl w:val="0"/>
                <w:numId w:val="6"/>
              </w:numPr>
              <w:spacing w:line="270" w:lineRule="exact"/>
              <w:rPr>
                <w:rFonts w:ascii="Calibri" w:hAnsi="Calibri" w:cs="Arial"/>
                <w:color w:val="808080"/>
                <w:sz w:val="20"/>
                <w:szCs w:val="20"/>
              </w:rPr>
            </w:pPr>
            <w:r w:rsidRPr="00CE50E1">
              <w:rPr>
                <w:rFonts w:ascii="Calibri" w:hAnsi="Calibri" w:cs="Arial"/>
                <w:color w:val="808080"/>
                <w:sz w:val="20"/>
                <w:szCs w:val="20"/>
              </w:rPr>
              <w:t>vrije tekst;</w:t>
            </w:r>
          </w:p>
          <w:p w14:paraId="2955D8D8" w14:textId="77777777" w:rsidR="00791580" w:rsidRPr="00CE50E1" w:rsidRDefault="00791580" w:rsidP="00CE50E1">
            <w:pPr>
              <w:pStyle w:val="Witregel"/>
              <w:numPr>
                <w:ilvl w:val="0"/>
                <w:numId w:val="6"/>
              </w:numPr>
              <w:spacing w:line="270" w:lineRule="exact"/>
              <w:rPr>
                <w:rFonts w:ascii="Calibri" w:hAnsi="Calibri" w:cs="Arial"/>
                <w:color w:val="808080"/>
                <w:sz w:val="20"/>
                <w:szCs w:val="20"/>
              </w:rPr>
            </w:pPr>
            <w:r w:rsidRPr="00CE50E1">
              <w:rPr>
                <w:rFonts w:ascii="Calibri" w:hAnsi="Calibri" w:cs="Arial"/>
                <w:color w:val="808080"/>
                <w:sz w:val="20"/>
                <w:szCs w:val="20"/>
              </w:rPr>
              <w:t>naam/namen van raadslid/-leden incl. initialen;</w:t>
            </w:r>
          </w:p>
          <w:p w14:paraId="5D6C9478" w14:textId="77777777" w:rsidR="00791580" w:rsidRPr="00CE50E1" w:rsidRDefault="00791580" w:rsidP="00CE50E1">
            <w:pPr>
              <w:pStyle w:val="Witregel"/>
              <w:numPr>
                <w:ilvl w:val="0"/>
                <w:numId w:val="6"/>
              </w:numPr>
              <w:spacing w:line="270" w:lineRule="exact"/>
              <w:rPr>
                <w:rFonts w:ascii="Calibri" w:hAnsi="Calibri" w:cs="Arial"/>
                <w:color w:val="808080"/>
                <w:sz w:val="20"/>
                <w:szCs w:val="20"/>
              </w:rPr>
            </w:pPr>
            <w:r w:rsidRPr="00CE50E1">
              <w:rPr>
                <w:rFonts w:ascii="Calibri" w:hAnsi="Calibri" w:cs="Arial"/>
                <w:color w:val="808080"/>
                <w:sz w:val="20"/>
                <w:szCs w:val="20"/>
              </w:rPr>
              <w:t>eventuele mee te sturen bijlagen.</w:t>
            </w:r>
          </w:p>
        </w:tc>
      </w:tr>
    </w:tbl>
    <w:p w14:paraId="7D17A38E" w14:textId="77777777" w:rsidR="002E4320" w:rsidRPr="00CE5D7A" w:rsidRDefault="002E4320" w:rsidP="00791580">
      <w:pPr>
        <w:widowControl w:val="0"/>
        <w:tabs>
          <w:tab w:val="left" w:pos="3405"/>
        </w:tabs>
        <w:rPr>
          <w:rFonts w:ascii="Calibri" w:hAnsi="Calibri" w:cs="Arial"/>
          <w:sz w:val="20"/>
          <w:szCs w:val="20"/>
        </w:rPr>
      </w:pPr>
    </w:p>
    <w:sectPr w:rsidR="002E4320" w:rsidRPr="00CE5D7A">
      <w:headerReference w:type="default" r:id="rId8"/>
      <w:footerReference w:type="even" r:id="rId9"/>
      <w:footerReference w:type="default" r:id="rId10"/>
      <w:headerReference w:type="first" r:id="rId11"/>
      <w:footerReference w:type="first" r:id="rId12"/>
      <w:pgSz w:w="11906" w:h="16838" w:code="9"/>
      <w:pgMar w:top="454" w:right="851" w:bottom="1242" w:left="3062"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08B31" w14:textId="77777777" w:rsidR="00706DC9" w:rsidRDefault="00706DC9">
      <w:r>
        <w:separator/>
      </w:r>
    </w:p>
  </w:endnote>
  <w:endnote w:type="continuationSeparator" w:id="0">
    <w:p w14:paraId="185E85D3" w14:textId="77777777" w:rsidR="00706DC9" w:rsidRDefault="0070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6E82A" w14:textId="77777777" w:rsidR="00904B69" w:rsidRDefault="00904B6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14:paraId="1F055C04" w14:textId="77777777" w:rsidR="00904B69" w:rsidRDefault="00904B69">
    <w:pPr>
      <w:pStyle w:val="Voetteks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35B6E" w14:textId="77777777" w:rsidR="00904B69" w:rsidRDefault="00904B69">
    <w:pPr>
      <w:pStyle w:val="Voettekst"/>
      <w:framePr w:wrap="around" w:vAnchor="text" w:hAnchor="margin" w:xAlign="right" w:y="1" w:anchorLock="1"/>
      <w:rPr>
        <w:rStyle w:val="Paginanummer"/>
      </w:rPr>
    </w:pPr>
    <w:r>
      <w:rPr>
        <w:rStyle w:val="Paginanummer"/>
      </w:rPr>
      <w:fldChar w:fldCharType="begin"/>
    </w:r>
    <w:r>
      <w:rPr>
        <w:rStyle w:val="Paginanummer"/>
      </w:rPr>
      <w:instrText xml:space="preserve">PAGE  </w:instrText>
    </w:r>
    <w:r>
      <w:rPr>
        <w:rStyle w:val="Paginanummer"/>
      </w:rPr>
      <w:fldChar w:fldCharType="separate"/>
    </w:r>
    <w:r w:rsidR="009C29F7">
      <w:rPr>
        <w:rStyle w:val="Paginanummer"/>
        <w:noProof/>
      </w:rPr>
      <w:t>5</w:t>
    </w:r>
    <w:r>
      <w:rPr>
        <w:rStyle w:val="Paginanummer"/>
      </w:rPr>
      <w:fldChar w:fldCharType="end"/>
    </w:r>
  </w:p>
  <w:p w14:paraId="562776DB" w14:textId="77777777" w:rsidR="00904B69" w:rsidRDefault="00904B69">
    <w:pPr>
      <w:pStyle w:val="Voettekst"/>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64F1A" w14:textId="77777777" w:rsidR="00904B69" w:rsidRDefault="00904B69">
    <w:pPr>
      <w:pStyle w:val="Voettekst"/>
      <w:jc w:val="right"/>
    </w:pPr>
    <w:r>
      <w:rPr>
        <w:rStyle w:val="Paginanummer"/>
      </w:rPr>
      <w:fldChar w:fldCharType="begin"/>
    </w:r>
    <w:r>
      <w:rPr>
        <w:rStyle w:val="Paginanummer"/>
      </w:rPr>
      <w:instrText xml:space="preserve"> PAGE </w:instrText>
    </w:r>
    <w:r>
      <w:rPr>
        <w:rStyle w:val="Paginanummer"/>
      </w:rPr>
      <w:fldChar w:fldCharType="separate"/>
    </w:r>
    <w:r w:rsidR="009C29F7">
      <w:rPr>
        <w:rStyle w:val="Paginanummer"/>
        <w:noProof/>
      </w:rPr>
      <w:t>1</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DAAB9" w14:textId="77777777" w:rsidR="00706DC9" w:rsidRDefault="00706DC9">
      <w:r>
        <w:separator/>
      </w:r>
    </w:p>
  </w:footnote>
  <w:footnote w:type="continuationSeparator" w:id="0">
    <w:p w14:paraId="50094422" w14:textId="77777777" w:rsidR="00706DC9" w:rsidRDefault="00706DC9">
      <w:r>
        <w:continuationSeparator/>
      </w:r>
    </w:p>
  </w:footnote>
  <w:footnote w:id="1">
    <w:p w14:paraId="53262C55" w14:textId="77777777" w:rsidR="00904B69" w:rsidRDefault="00904B69" w:rsidP="0012125F">
      <w:pPr>
        <w:pStyle w:val="Voetnoottekst"/>
      </w:pPr>
      <w:r w:rsidRPr="00776A0A">
        <w:rPr>
          <w:rStyle w:val="Voetnootmarkering"/>
          <w:rFonts w:ascii="Calibri" w:hAnsi="Calibri"/>
          <w:sz w:val="16"/>
          <w:szCs w:val="16"/>
        </w:rPr>
        <w:footnoteRef/>
      </w:r>
      <w:r w:rsidRPr="00776A0A">
        <w:rPr>
          <w:rFonts w:ascii="Calibri" w:hAnsi="Calibri"/>
          <w:sz w:val="16"/>
          <w:szCs w:val="16"/>
        </w:rPr>
        <w:t xml:space="preserve"> Verkiezingsprogramma PvdA Amsterdam, pag 50.</w:t>
      </w:r>
    </w:p>
  </w:footnote>
  <w:footnote w:id="2">
    <w:p w14:paraId="7A7FA90B" w14:textId="77777777" w:rsidR="00904B69" w:rsidRDefault="00904B69" w:rsidP="0012125F">
      <w:pPr>
        <w:pStyle w:val="Voetnoottekst"/>
      </w:pPr>
      <w:r w:rsidRPr="00776A0A">
        <w:rPr>
          <w:rStyle w:val="Voetnootmarkering"/>
          <w:rFonts w:ascii="Calibri" w:hAnsi="Calibri"/>
          <w:sz w:val="16"/>
          <w:szCs w:val="16"/>
        </w:rPr>
        <w:footnoteRef/>
      </w:r>
      <w:r w:rsidRPr="00776A0A">
        <w:rPr>
          <w:rFonts w:ascii="Calibri" w:hAnsi="Calibri"/>
          <w:sz w:val="16"/>
          <w:szCs w:val="16"/>
        </w:rPr>
        <w:t xml:space="preserve"> WNT II, memorie van toelichting</w:t>
      </w:r>
    </w:p>
  </w:footnote>
  <w:footnote w:id="3">
    <w:p w14:paraId="0E8507FB" w14:textId="77777777" w:rsidR="00904B69" w:rsidRDefault="00904B69" w:rsidP="0012125F">
      <w:pPr>
        <w:pStyle w:val="Voetnoottekst"/>
      </w:pPr>
      <w:r w:rsidRPr="00776A0A">
        <w:rPr>
          <w:rStyle w:val="Voetnootmarkering"/>
          <w:rFonts w:ascii="Calibri" w:hAnsi="Calibri"/>
          <w:sz w:val="16"/>
          <w:szCs w:val="16"/>
        </w:rPr>
        <w:footnoteRef/>
      </w:r>
      <w:r w:rsidRPr="00776A0A">
        <w:rPr>
          <w:rFonts w:ascii="Calibri" w:hAnsi="Calibri"/>
          <w:sz w:val="16"/>
          <w:szCs w:val="16"/>
        </w:rPr>
        <w:t xml:space="preserve"> WNT II</w:t>
      </w:r>
    </w:p>
  </w:footnote>
  <w:footnote w:id="4">
    <w:p w14:paraId="208FDAC3" w14:textId="77777777" w:rsidR="00904B69" w:rsidRDefault="00904B69" w:rsidP="0012125F">
      <w:pPr>
        <w:pStyle w:val="Voetnoottekst"/>
      </w:pPr>
      <w:r w:rsidRPr="00776A0A">
        <w:rPr>
          <w:rStyle w:val="Voetnootmarkering"/>
          <w:rFonts w:ascii="Calibri" w:hAnsi="Calibri"/>
          <w:sz w:val="16"/>
          <w:szCs w:val="16"/>
        </w:rPr>
        <w:footnoteRef/>
      </w:r>
      <w:r w:rsidRPr="00776A0A">
        <w:rPr>
          <w:rFonts w:ascii="Calibri" w:hAnsi="Calibri"/>
          <w:sz w:val="16"/>
          <w:szCs w:val="16"/>
        </w:rPr>
        <w:t xml:space="preserve"> </w:t>
      </w:r>
      <w:r>
        <w:rPr>
          <w:rFonts w:ascii="Calibri" w:hAnsi="Calibri"/>
          <w:sz w:val="16"/>
          <w:szCs w:val="16"/>
        </w:rPr>
        <w:t>Jaarrekening 2013, pag</w:t>
      </w:r>
      <w:r w:rsidRPr="00776A0A">
        <w:rPr>
          <w:rFonts w:ascii="Calibri" w:hAnsi="Calibri"/>
          <w:sz w:val="16"/>
          <w:szCs w:val="16"/>
        </w:rPr>
        <w:t xml:space="preserve"> 419</w:t>
      </w:r>
    </w:p>
  </w:footnote>
  <w:footnote w:id="5">
    <w:p w14:paraId="49C8359E" w14:textId="77777777" w:rsidR="00904B69" w:rsidRDefault="00904B69" w:rsidP="0012125F">
      <w:pPr>
        <w:pStyle w:val="Voetnoottekst"/>
      </w:pPr>
      <w:r w:rsidRPr="00776A0A">
        <w:rPr>
          <w:rStyle w:val="Voetnootmarkering"/>
          <w:rFonts w:ascii="Calibri" w:hAnsi="Calibri"/>
          <w:sz w:val="16"/>
          <w:szCs w:val="16"/>
        </w:rPr>
        <w:footnoteRef/>
      </w:r>
      <w:r w:rsidRPr="00776A0A">
        <w:rPr>
          <w:rFonts w:ascii="Calibri" w:hAnsi="Calibri"/>
          <w:sz w:val="16"/>
          <w:szCs w:val="16"/>
        </w:rPr>
        <w:t xml:space="preserve"> gewijzigde Gedragscode Externe </w:t>
      </w:r>
      <w:proofErr w:type="gramStart"/>
      <w:r w:rsidRPr="00776A0A">
        <w:rPr>
          <w:rFonts w:ascii="Calibri" w:hAnsi="Calibri"/>
          <w:sz w:val="16"/>
          <w:szCs w:val="16"/>
        </w:rPr>
        <w:t>inhuur</w:t>
      </w:r>
      <w:proofErr w:type="gramEnd"/>
      <w:r w:rsidRPr="00776A0A">
        <w:rPr>
          <w:rFonts w:ascii="Calibri" w:hAnsi="Calibri"/>
          <w:sz w:val="16"/>
          <w:szCs w:val="16"/>
        </w:rPr>
        <w:t>, pag 6</w:t>
      </w:r>
    </w:p>
  </w:footnote>
  <w:footnote w:id="6">
    <w:p w14:paraId="20BDD2E1" w14:textId="77777777" w:rsidR="00904B69" w:rsidRDefault="00904B69" w:rsidP="0012125F">
      <w:pPr>
        <w:pStyle w:val="Voetnoottekst"/>
      </w:pPr>
      <w:r w:rsidRPr="00776A0A">
        <w:rPr>
          <w:rStyle w:val="Voetnootmarkering"/>
          <w:rFonts w:ascii="Calibri" w:hAnsi="Calibri"/>
          <w:sz w:val="16"/>
          <w:szCs w:val="16"/>
        </w:rPr>
        <w:footnoteRef/>
      </w:r>
      <w:r w:rsidRPr="00776A0A">
        <w:rPr>
          <w:rFonts w:ascii="Calibri" w:hAnsi="Calibri"/>
          <w:sz w:val="16"/>
          <w:szCs w:val="16"/>
        </w:rPr>
        <w:t xml:space="preserve"> </w:t>
      </w:r>
      <w:proofErr w:type="gramStart"/>
      <w:r w:rsidRPr="00776A0A">
        <w:rPr>
          <w:rFonts w:ascii="Calibri" w:hAnsi="Calibri"/>
          <w:sz w:val="16"/>
          <w:szCs w:val="16"/>
        </w:rPr>
        <w:t>Ibidem</w:t>
      </w:r>
      <w:proofErr w:type="gramEnd"/>
    </w:p>
  </w:footnote>
  <w:footnote w:id="7">
    <w:p w14:paraId="4741F2CD" w14:textId="77777777" w:rsidR="008C7DCD" w:rsidRDefault="008C7DCD" w:rsidP="008C7DCD"/>
    <w:p w14:paraId="1AB1F8DE" w14:textId="480C84A1" w:rsidR="008C7DCD" w:rsidRPr="008C7DCD" w:rsidRDefault="008C7DCD" w:rsidP="008C7DCD">
      <w:pPr>
        <w:rPr>
          <w:sz w:val="16"/>
          <w:szCs w:val="16"/>
        </w:rPr>
      </w:pPr>
      <w:r>
        <w:rPr>
          <w:rStyle w:val="Voetnootmarkering"/>
        </w:rPr>
        <w:footnoteRef/>
      </w:r>
      <w:r>
        <w:t xml:space="preserve"> </w:t>
      </w:r>
      <w:r w:rsidRPr="008C7DCD">
        <w:rPr>
          <w:rFonts w:asciiTheme="minorHAnsi" w:hAnsiTheme="minorHAnsi"/>
          <w:i/>
          <w:sz w:val="16"/>
          <w:szCs w:val="16"/>
        </w:rPr>
        <w:t>Berekening maximum dagtarief op basis van nieuwe norm € 178.000</w:t>
      </w:r>
      <w:proofErr w:type="gramStart"/>
      <w:r w:rsidRPr="008C7DCD">
        <w:rPr>
          <w:rFonts w:asciiTheme="minorHAnsi" w:hAnsiTheme="minorHAnsi"/>
          <w:i/>
          <w:sz w:val="16"/>
          <w:szCs w:val="16"/>
        </w:rPr>
        <w:t>,-</w:t>
      </w:r>
      <w:proofErr w:type="gramEnd"/>
    </w:p>
    <w:p w14:paraId="38A51538" w14:textId="77777777" w:rsidR="008C7DCD" w:rsidRPr="008C7DCD" w:rsidRDefault="008C7DCD" w:rsidP="008C7DCD">
      <w:pPr>
        <w:pStyle w:val="Lijstalinea"/>
        <w:numPr>
          <w:ilvl w:val="0"/>
          <w:numId w:val="8"/>
        </w:numPr>
        <w:spacing w:after="0" w:line="240" w:lineRule="auto"/>
        <w:rPr>
          <w:rFonts w:asciiTheme="minorHAnsi" w:hAnsiTheme="minorHAnsi"/>
          <w:sz w:val="16"/>
          <w:szCs w:val="16"/>
        </w:rPr>
      </w:pPr>
      <w:r w:rsidRPr="008C7DCD">
        <w:rPr>
          <w:rFonts w:asciiTheme="minorHAnsi" w:hAnsiTheme="minorHAnsi"/>
          <w:sz w:val="16"/>
          <w:szCs w:val="16"/>
        </w:rPr>
        <w:t>Aantal werkbare dagen per jaar 260 (52 weken x 5 dagen)</w:t>
      </w:r>
    </w:p>
    <w:p w14:paraId="302BE481" w14:textId="77777777" w:rsidR="008C7DCD" w:rsidRPr="008C7DCD" w:rsidRDefault="008C7DCD" w:rsidP="008C7DCD">
      <w:pPr>
        <w:pStyle w:val="Lijstalinea"/>
        <w:numPr>
          <w:ilvl w:val="0"/>
          <w:numId w:val="8"/>
        </w:numPr>
        <w:spacing w:after="0" w:line="240" w:lineRule="auto"/>
        <w:rPr>
          <w:rFonts w:asciiTheme="minorHAnsi" w:hAnsiTheme="minorHAnsi"/>
          <w:sz w:val="16"/>
          <w:szCs w:val="16"/>
        </w:rPr>
      </w:pPr>
      <w:r w:rsidRPr="008C7DCD">
        <w:rPr>
          <w:rFonts w:asciiTheme="minorHAnsi" w:hAnsiTheme="minorHAnsi"/>
          <w:sz w:val="16"/>
          <w:szCs w:val="16"/>
        </w:rPr>
        <w:t>Gemiddeld aantal feestdagen (vast en flexibel) per jaar: 8</w:t>
      </w:r>
    </w:p>
    <w:p w14:paraId="1EE9F691" w14:textId="77777777" w:rsidR="008C7DCD" w:rsidRPr="008C7DCD" w:rsidRDefault="008C7DCD" w:rsidP="008C7DCD">
      <w:pPr>
        <w:pStyle w:val="Lijstalinea"/>
        <w:numPr>
          <w:ilvl w:val="0"/>
          <w:numId w:val="8"/>
        </w:numPr>
        <w:spacing w:after="0" w:line="240" w:lineRule="auto"/>
        <w:rPr>
          <w:rFonts w:asciiTheme="minorHAnsi" w:hAnsiTheme="minorHAnsi"/>
          <w:sz w:val="16"/>
          <w:szCs w:val="16"/>
        </w:rPr>
      </w:pPr>
      <w:r w:rsidRPr="008C7DCD">
        <w:rPr>
          <w:rFonts w:asciiTheme="minorHAnsi" w:hAnsiTheme="minorHAnsi"/>
          <w:sz w:val="16"/>
          <w:szCs w:val="16"/>
        </w:rPr>
        <w:t>Gemiddeld aantal niet declarabele dagen ivm vakantie: 26</w:t>
      </w:r>
    </w:p>
    <w:p w14:paraId="10A4DA04" w14:textId="77777777" w:rsidR="008C7DCD" w:rsidRPr="008C7DCD" w:rsidRDefault="008C7DCD" w:rsidP="008C7DCD">
      <w:pPr>
        <w:pStyle w:val="Lijstalinea"/>
        <w:numPr>
          <w:ilvl w:val="0"/>
          <w:numId w:val="8"/>
        </w:numPr>
        <w:spacing w:after="0" w:line="240" w:lineRule="auto"/>
        <w:rPr>
          <w:rFonts w:asciiTheme="minorHAnsi" w:hAnsiTheme="minorHAnsi"/>
          <w:sz w:val="16"/>
          <w:szCs w:val="16"/>
        </w:rPr>
      </w:pPr>
      <w:r w:rsidRPr="008C7DCD">
        <w:rPr>
          <w:rFonts w:asciiTheme="minorHAnsi" w:hAnsiTheme="minorHAnsi"/>
          <w:sz w:val="16"/>
          <w:szCs w:val="16"/>
        </w:rPr>
        <w:t>Blijft over aan werkbare dagen: 226</w:t>
      </w:r>
    </w:p>
    <w:p w14:paraId="1F4C8DEB" w14:textId="77777777" w:rsidR="008C7DCD" w:rsidRPr="008C7DCD" w:rsidRDefault="008C7DCD" w:rsidP="008C7DCD">
      <w:pPr>
        <w:rPr>
          <w:rFonts w:asciiTheme="minorHAnsi" w:hAnsiTheme="minorHAnsi"/>
          <w:sz w:val="16"/>
          <w:szCs w:val="16"/>
        </w:rPr>
      </w:pPr>
      <w:r w:rsidRPr="008C7DCD">
        <w:rPr>
          <w:rFonts w:asciiTheme="minorHAnsi" w:hAnsiTheme="minorHAnsi"/>
          <w:sz w:val="16"/>
          <w:szCs w:val="16"/>
        </w:rPr>
        <w:t xml:space="preserve">Uitgaande van maximaal 36 uur per week (gelijk getrokken aan medewerkers) en </w:t>
      </w:r>
    </w:p>
    <w:p w14:paraId="56ED2844" w14:textId="77777777" w:rsidR="008C7DCD" w:rsidRPr="008C7DCD" w:rsidRDefault="008C7DCD" w:rsidP="008C7DCD">
      <w:pPr>
        <w:rPr>
          <w:rFonts w:asciiTheme="minorHAnsi" w:hAnsiTheme="minorHAnsi"/>
          <w:sz w:val="16"/>
          <w:szCs w:val="16"/>
        </w:rPr>
      </w:pPr>
      <w:r w:rsidRPr="008C7DCD">
        <w:rPr>
          <w:rFonts w:asciiTheme="minorHAnsi" w:hAnsiTheme="minorHAnsi"/>
          <w:sz w:val="16"/>
          <w:szCs w:val="16"/>
        </w:rPr>
        <w:t>€ 178.000 als jaarlijkse bovengrens wat in rekening gebracht mag worden bij Gemeente Amsterdam volgt het volgende dagtarief: € 178.000/ 226 dagen= € 787,00 per dag.</w:t>
      </w:r>
    </w:p>
    <w:p w14:paraId="6C2CCC1E" w14:textId="3B1473F9" w:rsidR="008C7DCD" w:rsidRDefault="008C7DCD">
      <w:pPr>
        <w:pStyle w:val="Voetnoot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211" w:type="dxa"/>
      <w:tblCellMar>
        <w:left w:w="0" w:type="dxa"/>
        <w:right w:w="0" w:type="dxa"/>
      </w:tblCellMar>
      <w:tblLook w:val="0000" w:firstRow="0" w:lastRow="0" w:firstColumn="0" w:lastColumn="0" w:noHBand="0" w:noVBand="0"/>
    </w:tblPr>
    <w:tblGrid>
      <w:gridCol w:w="2210"/>
      <w:gridCol w:w="6634"/>
      <w:gridCol w:w="1360"/>
    </w:tblGrid>
    <w:tr w:rsidR="00904B69" w14:paraId="769E5B00" w14:textId="77777777">
      <w:trPr>
        <w:cantSplit/>
      </w:trPr>
      <w:tc>
        <w:tcPr>
          <w:tcW w:w="2211" w:type="dxa"/>
        </w:tcPr>
        <w:tbl>
          <w:tblPr>
            <w:tblW w:w="0" w:type="auto"/>
            <w:tblCellMar>
              <w:left w:w="0" w:type="dxa"/>
              <w:right w:w="0" w:type="dxa"/>
            </w:tblCellMar>
            <w:tblLook w:val="0000" w:firstRow="0" w:lastRow="0" w:firstColumn="0" w:lastColumn="0" w:noHBand="0" w:noVBand="0"/>
          </w:tblPr>
          <w:tblGrid>
            <w:gridCol w:w="679"/>
            <w:gridCol w:w="111"/>
            <w:gridCol w:w="1333"/>
          </w:tblGrid>
          <w:tr w:rsidR="00904B69" w14:paraId="6B481C25" w14:textId="77777777">
            <w:trPr>
              <w:trHeight w:hRule="exact" w:val="57"/>
            </w:trPr>
            <w:tc>
              <w:tcPr>
                <w:tcW w:w="679" w:type="dxa"/>
              </w:tcPr>
              <w:p w14:paraId="7C4DC71F" w14:textId="77777777" w:rsidR="00904B69" w:rsidRDefault="00904B69">
                <w:pPr>
                  <w:pStyle w:val="Opzoekgegevens"/>
                </w:pPr>
              </w:p>
            </w:tc>
            <w:tc>
              <w:tcPr>
                <w:tcW w:w="111" w:type="dxa"/>
              </w:tcPr>
              <w:p w14:paraId="4EDCF3E9" w14:textId="77777777" w:rsidR="00904B69" w:rsidRDefault="00904B69">
                <w:pPr>
                  <w:pStyle w:val="Opzoekgegevens"/>
                </w:pPr>
              </w:p>
            </w:tc>
            <w:tc>
              <w:tcPr>
                <w:tcW w:w="1333" w:type="dxa"/>
              </w:tcPr>
              <w:p w14:paraId="0D861108" w14:textId="77777777" w:rsidR="00904B69" w:rsidRDefault="00904B69">
                <w:pPr>
                  <w:pStyle w:val="Opzoekgegevens"/>
                </w:pPr>
              </w:p>
            </w:tc>
          </w:tr>
          <w:tr w:rsidR="00904B69" w14:paraId="790167C4" w14:textId="77777777">
            <w:tc>
              <w:tcPr>
                <w:tcW w:w="679" w:type="dxa"/>
              </w:tcPr>
              <w:p w14:paraId="486CB924" w14:textId="77777777" w:rsidR="00904B69" w:rsidRDefault="00904B69">
                <w:pPr>
                  <w:pStyle w:val="Opzoekgegevens"/>
                </w:pPr>
                <w:r>
                  <w:t>Jaar</w:t>
                </w:r>
              </w:p>
            </w:tc>
            <w:tc>
              <w:tcPr>
                <w:tcW w:w="111" w:type="dxa"/>
              </w:tcPr>
              <w:p w14:paraId="0E07841B" w14:textId="77777777" w:rsidR="00904B69" w:rsidRDefault="00904B69">
                <w:pPr>
                  <w:pStyle w:val="Opzoekgegevens"/>
                </w:pPr>
              </w:p>
            </w:tc>
            <w:tc>
              <w:tcPr>
                <w:tcW w:w="1333" w:type="dxa"/>
              </w:tcPr>
              <w:p w14:paraId="5163B41C" w14:textId="77777777" w:rsidR="00804B4D" w:rsidRDefault="00904B69" w:rsidP="00804B4D">
                <w:pPr>
                  <w:pStyle w:val="Opzoekgegevens"/>
                </w:pPr>
                <w:bookmarkStart w:id="2" w:name="BMK_JAARTAL_2"/>
                <w:r>
                  <w:t>201</w:t>
                </w:r>
                <w:bookmarkEnd w:id="2"/>
                <w:r w:rsidR="00804B4D">
                  <w:t>5</w:t>
                </w:r>
              </w:p>
            </w:tc>
          </w:tr>
          <w:tr w:rsidR="00904B69" w14:paraId="6F556B8E" w14:textId="77777777">
            <w:tc>
              <w:tcPr>
                <w:tcW w:w="679" w:type="dxa"/>
              </w:tcPr>
              <w:p w14:paraId="45F6C2FD" w14:textId="77777777" w:rsidR="00904B69" w:rsidRDefault="00904B69">
                <w:pPr>
                  <w:pStyle w:val="Opzoekgegevens"/>
                </w:pPr>
                <w:r>
                  <w:t>Afdeling</w:t>
                </w:r>
              </w:p>
            </w:tc>
            <w:tc>
              <w:tcPr>
                <w:tcW w:w="111" w:type="dxa"/>
              </w:tcPr>
              <w:p w14:paraId="26A33642" w14:textId="77777777" w:rsidR="00904B69" w:rsidRDefault="00904B69">
                <w:pPr>
                  <w:pStyle w:val="Opzoekgegevens"/>
                </w:pPr>
              </w:p>
            </w:tc>
            <w:tc>
              <w:tcPr>
                <w:tcW w:w="1333" w:type="dxa"/>
              </w:tcPr>
              <w:p w14:paraId="5E654D5A" w14:textId="77777777" w:rsidR="00904B69" w:rsidRDefault="00904B69">
                <w:pPr>
                  <w:pStyle w:val="Opzoekgegevens"/>
                </w:pPr>
                <w:r>
                  <w:t>*</w:t>
                </w:r>
              </w:p>
            </w:tc>
          </w:tr>
          <w:tr w:rsidR="00904B69" w14:paraId="1495008E" w14:textId="77777777">
            <w:tc>
              <w:tcPr>
                <w:tcW w:w="679" w:type="dxa"/>
              </w:tcPr>
              <w:p w14:paraId="3B0C1C13" w14:textId="77777777" w:rsidR="00904B69" w:rsidRDefault="00904B69">
                <w:pPr>
                  <w:pStyle w:val="Opzoekgegevens"/>
                </w:pPr>
                <w:r>
                  <w:t>Nummer</w:t>
                </w:r>
              </w:p>
            </w:tc>
            <w:tc>
              <w:tcPr>
                <w:tcW w:w="111" w:type="dxa"/>
              </w:tcPr>
              <w:p w14:paraId="5A9DD78C" w14:textId="77777777" w:rsidR="00904B69" w:rsidRDefault="00904B69">
                <w:pPr>
                  <w:pStyle w:val="Opzoekgegevens"/>
                </w:pPr>
              </w:p>
            </w:tc>
            <w:tc>
              <w:tcPr>
                <w:tcW w:w="1333" w:type="dxa"/>
              </w:tcPr>
              <w:p w14:paraId="7462FD1C" w14:textId="77777777" w:rsidR="00904B69" w:rsidRDefault="00904B69">
                <w:pPr>
                  <w:pStyle w:val="Opzoekgegevens"/>
                </w:pPr>
                <w:r>
                  <w:t>*</w:t>
                </w:r>
              </w:p>
            </w:tc>
          </w:tr>
          <w:tr w:rsidR="00904B69" w14:paraId="46726A2D" w14:textId="77777777">
            <w:tc>
              <w:tcPr>
                <w:tcW w:w="679" w:type="dxa"/>
              </w:tcPr>
              <w:p w14:paraId="3342F1EC" w14:textId="77777777" w:rsidR="00904B69" w:rsidRDefault="00904B69">
                <w:pPr>
                  <w:pStyle w:val="Opzoekgegevens"/>
                </w:pPr>
                <w:r>
                  <w:t>Datum</w:t>
                </w:r>
              </w:p>
            </w:tc>
            <w:tc>
              <w:tcPr>
                <w:tcW w:w="111" w:type="dxa"/>
              </w:tcPr>
              <w:p w14:paraId="2A47B644" w14:textId="77777777" w:rsidR="00904B69" w:rsidRDefault="00904B69">
                <w:pPr>
                  <w:pStyle w:val="Opzoekgegevens"/>
                </w:pPr>
              </w:p>
            </w:tc>
            <w:tc>
              <w:tcPr>
                <w:tcW w:w="1333" w:type="dxa"/>
              </w:tcPr>
              <w:p w14:paraId="1C2805C7" w14:textId="77777777" w:rsidR="00904B69" w:rsidRDefault="00904B69">
                <w:pPr>
                  <w:pStyle w:val="Opzoekgegevens"/>
                </w:pPr>
                <w:r>
                  <w:t>*</w:t>
                </w:r>
              </w:p>
            </w:tc>
          </w:tr>
        </w:tbl>
        <w:p w14:paraId="2E6013BF" w14:textId="77777777" w:rsidR="00904B69" w:rsidRDefault="00904B69">
          <w:pPr>
            <w:pStyle w:val="Koptekst"/>
          </w:pPr>
        </w:p>
      </w:tc>
      <w:tc>
        <w:tcPr>
          <w:tcW w:w="6634" w:type="dxa"/>
        </w:tcPr>
        <w:tbl>
          <w:tblPr>
            <w:tblW w:w="6603" w:type="dxa"/>
            <w:tblCellMar>
              <w:left w:w="0" w:type="dxa"/>
              <w:right w:w="0" w:type="dxa"/>
            </w:tblCellMar>
            <w:tblLook w:val="0000" w:firstRow="0" w:lastRow="0" w:firstColumn="0" w:lastColumn="0" w:noHBand="0" w:noVBand="0"/>
          </w:tblPr>
          <w:tblGrid>
            <w:gridCol w:w="6010"/>
            <w:gridCol w:w="593"/>
          </w:tblGrid>
          <w:tr w:rsidR="00904B69" w14:paraId="20C6F9F7" w14:textId="77777777">
            <w:trPr>
              <w:gridAfter w:val="1"/>
              <w:wAfter w:w="593" w:type="dxa"/>
              <w:trHeight w:hRule="exact" w:val="20"/>
            </w:trPr>
            <w:tc>
              <w:tcPr>
                <w:tcW w:w="6010" w:type="dxa"/>
              </w:tcPr>
              <w:p w14:paraId="36E2403B" w14:textId="77777777" w:rsidR="00904B69" w:rsidRDefault="00904B69">
                <w:pPr>
                  <w:pStyle w:val="NaampatroonBold"/>
                </w:pPr>
              </w:p>
            </w:tc>
          </w:tr>
          <w:tr w:rsidR="00904B69" w14:paraId="4B4AA627" w14:textId="77777777">
            <w:tc>
              <w:tcPr>
                <w:tcW w:w="6603" w:type="dxa"/>
                <w:gridSpan w:val="2"/>
              </w:tcPr>
              <w:p w14:paraId="0C704D1A" w14:textId="77777777" w:rsidR="00904B69" w:rsidRDefault="00904B69">
                <w:pPr>
                  <w:pStyle w:val="NaampatroonBold"/>
                </w:pPr>
                <w:r>
                  <w:t>Gemeente Amsterdam</w:t>
                </w:r>
              </w:p>
            </w:tc>
          </w:tr>
          <w:tr w:rsidR="00904B69" w14:paraId="4A7409A6" w14:textId="77777777">
            <w:tc>
              <w:tcPr>
                <w:tcW w:w="6603" w:type="dxa"/>
                <w:gridSpan w:val="2"/>
              </w:tcPr>
              <w:p w14:paraId="09D4F97E" w14:textId="77777777" w:rsidR="00904B69" w:rsidRDefault="00904B69">
                <w:pPr>
                  <w:pStyle w:val="NaampatroonRegular"/>
                </w:pPr>
                <w:r>
                  <w:t>Gemeenteraad</w:t>
                </w:r>
              </w:p>
            </w:tc>
          </w:tr>
          <w:tr w:rsidR="00904B69" w14:paraId="6A0E89FF" w14:textId="77777777">
            <w:tc>
              <w:tcPr>
                <w:tcW w:w="6603" w:type="dxa"/>
                <w:gridSpan w:val="2"/>
              </w:tcPr>
              <w:p w14:paraId="60A30BF4" w14:textId="77777777" w:rsidR="00904B69" w:rsidRDefault="00904B69">
                <w:pPr>
                  <w:pStyle w:val="NaambestuursdocumentRegular"/>
                  <w:rPr>
                    <w:b w:val="0"/>
                    <w:bCs/>
                    <w:sz w:val="16"/>
                    <w:szCs w:val="16"/>
                  </w:rPr>
                </w:pPr>
                <w:r>
                  <w:rPr>
                    <w:sz w:val="16"/>
                    <w:szCs w:val="16"/>
                  </w:rPr>
                  <w:t xml:space="preserve">Voordracht voor de raadsvergadering van </w:t>
                </w:r>
                <w:bookmarkStart w:id="3" w:name="BMK_DATUM_3"/>
                <w:r>
                  <w:rPr>
                    <w:sz w:val="16"/>
                    <w:szCs w:val="16"/>
                  </w:rPr>
                  <w:t>XX</w:t>
                </w:r>
                <w:r>
                  <w:rPr>
                    <w:b w:val="0"/>
                    <w:bCs/>
                    <w:sz w:val="16"/>
                    <w:szCs w:val="16"/>
                  </w:rPr>
                  <w:t xml:space="preserve"> XXXXX 20</w:t>
                </w:r>
                <w:bookmarkEnd w:id="3"/>
                <w:r>
                  <w:rPr>
                    <w:b w:val="0"/>
                    <w:bCs/>
                    <w:sz w:val="16"/>
                    <w:szCs w:val="16"/>
                  </w:rPr>
                  <w:t>XX</w:t>
                </w:r>
              </w:p>
            </w:tc>
          </w:tr>
        </w:tbl>
        <w:p w14:paraId="4AD0ED3A" w14:textId="77777777" w:rsidR="00904B69" w:rsidRDefault="00904B69">
          <w:pPr>
            <w:pStyle w:val="Koptekst"/>
          </w:pPr>
        </w:p>
      </w:tc>
      <w:tc>
        <w:tcPr>
          <w:tcW w:w="1361" w:type="dxa"/>
        </w:tcPr>
        <w:p w14:paraId="4C29B1FF" w14:textId="77777777" w:rsidR="00904B69" w:rsidRDefault="00904B69">
          <w:pPr>
            <w:pStyle w:val="Snelzoekreferentie"/>
          </w:pPr>
          <w:r>
            <w:t>R</w:t>
          </w:r>
        </w:p>
      </w:tc>
    </w:tr>
  </w:tbl>
  <w:p w14:paraId="34160743" w14:textId="77777777" w:rsidR="00904B69" w:rsidRDefault="00904B6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211" w:type="dxa"/>
      <w:tblLayout w:type="fixed"/>
      <w:tblCellMar>
        <w:left w:w="0" w:type="dxa"/>
        <w:right w:w="0" w:type="dxa"/>
      </w:tblCellMar>
      <w:tblLook w:val="0000" w:firstRow="0" w:lastRow="0" w:firstColumn="0" w:lastColumn="0" w:noHBand="0" w:noVBand="0"/>
    </w:tblPr>
    <w:tblGrid>
      <w:gridCol w:w="2211"/>
      <w:gridCol w:w="624"/>
      <w:gridCol w:w="6010"/>
      <w:gridCol w:w="1361"/>
    </w:tblGrid>
    <w:tr w:rsidR="00904B69" w14:paraId="2F66BEE8" w14:textId="77777777">
      <w:tc>
        <w:tcPr>
          <w:tcW w:w="2211" w:type="dxa"/>
        </w:tcPr>
        <w:p w14:paraId="166ABA7C" w14:textId="77777777" w:rsidR="00904B69" w:rsidRDefault="00904B69">
          <w:pPr>
            <w:pStyle w:val="Koptekst"/>
          </w:pPr>
        </w:p>
      </w:tc>
      <w:tc>
        <w:tcPr>
          <w:tcW w:w="624" w:type="dxa"/>
        </w:tcPr>
        <w:tbl>
          <w:tblPr>
            <w:tblW w:w="0" w:type="auto"/>
            <w:tblLayout w:type="fixed"/>
            <w:tblCellMar>
              <w:left w:w="0" w:type="dxa"/>
              <w:right w:w="0" w:type="dxa"/>
            </w:tblCellMar>
            <w:tblLook w:val="0000" w:firstRow="0" w:lastRow="0" w:firstColumn="0" w:lastColumn="0" w:noHBand="0" w:noVBand="0"/>
          </w:tblPr>
          <w:tblGrid>
            <w:gridCol w:w="284"/>
          </w:tblGrid>
          <w:tr w:rsidR="00904B69" w14:paraId="4596D4FD" w14:textId="77777777">
            <w:trPr>
              <w:trHeight w:hRule="exact" w:val="85"/>
            </w:trPr>
            <w:tc>
              <w:tcPr>
                <w:tcW w:w="284" w:type="dxa"/>
              </w:tcPr>
              <w:p w14:paraId="1780DC79" w14:textId="77777777" w:rsidR="00904B69" w:rsidRDefault="00904B69">
                <w:pPr>
                  <w:pStyle w:val="Koptekst"/>
                </w:pPr>
              </w:p>
            </w:tc>
          </w:tr>
          <w:tr w:rsidR="00904B69" w14:paraId="309C557E" w14:textId="77777777">
            <w:tc>
              <w:tcPr>
                <w:tcW w:w="284" w:type="dxa"/>
              </w:tcPr>
              <w:p w14:paraId="4675CF3E" w14:textId="77777777" w:rsidR="00904B69" w:rsidRDefault="00904B69">
                <w:pPr>
                  <w:pStyle w:val="Koptekst"/>
                </w:pPr>
                <w:r>
                  <w:object w:dxaOrig="256" w:dyaOrig="916" w14:anchorId="4EDEC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45.75pt" o:ole="">
                      <v:imagedata r:id="rId1" o:title=""/>
                    </v:shape>
                    <o:OLEObject Type="Embed" ProgID="Word.Picture.8" ShapeID="_x0000_i1026" DrawAspect="Content" ObjectID="_1490780792" r:id="rId2"/>
                  </w:object>
                </w:r>
              </w:p>
            </w:tc>
          </w:tr>
        </w:tbl>
        <w:p w14:paraId="78887FB0" w14:textId="77777777" w:rsidR="00904B69" w:rsidRDefault="00904B69">
          <w:pPr>
            <w:pStyle w:val="Koptekst"/>
          </w:pPr>
        </w:p>
      </w:tc>
      <w:tc>
        <w:tcPr>
          <w:tcW w:w="6010" w:type="dxa"/>
        </w:tcPr>
        <w:tbl>
          <w:tblPr>
            <w:tblW w:w="6010" w:type="dxa"/>
            <w:tblLayout w:type="fixed"/>
            <w:tblCellMar>
              <w:left w:w="0" w:type="dxa"/>
              <w:right w:w="0" w:type="dxa"/>
            </w:tblCellMar>
            <w:tblLook w:val="0000" w:firstRow="0" w:lastRow="0" w:firstColumn="0" w:lastColumn="0" w:noHBand="0" w:noVBand="0"/>
          </w:tblPr>
          <w:tblGrid>
            <w:gridCol w:w="6010"/>
          </w:tblGrid>
          <w:tr w:rsidR="00904B69" w14:paraId="78AEC358" w14:textId="77777777">
            <w:trPr>
              <w:trHeight w:hRule="exact" w:val="20"/>
            </w:trPr>
            <w:tc>
              <w:tcPr>
                <w:tcW w:w="6010" w:type="dxa"/>
              </w:tcPr>
              <w:p w14:paraId="279776A1" w14:textId="77777777" w:rsidR="00904B69" w:rsidRDefault="00904B69">
                <w:pPr>
                  <w:pStyle w:val="NaampatroonBold"/>
                </w:pPr>
              </w:p>
            </w:tc>
          </w:tr>
          <w:tr w:rsidR="00904B69" w14:paraId="1A7A9998" w14:textId="77777777">
            <w:tc>
              <w:tcPr>
                <w:tcW w:w="6010" w:type="dxa"/>
              </w:tcPr>
              <w:p w14:paraId="63890466" w14:textId="77777777" w:rsidR="00904B69" w:rsidRDefault="00904B69">
                <w:pPr>
                  <w:pStyle w:val="NaampatroonBold"/>
                </w:pPr>
                <w:r>
                  <w:t>Gemeente Amsterdam</w:t>
                </w:r>
              </w:p>
            </w:tc>
          </w:tr>
          <w:tr w:rsidR="00904B69" w14:paraId="313DFBBD" w14:textId="77777777">
            <w:tc>
              <w:tcPr>
                <w:tcW w:w="6010" w:type="dxa"/>
              </w:tcPr>
              <w:p w14:paraId="6C631C35" w14:textId="77777777" w:rsidR="00904B69" w:rsidRDefault="00904B69">
                <w:pPr>
                  <w:pStyle w:val="NaampatroonRegular"/>
                </w:pPr>
                <w:r>
                  <w:t>Gemeenteraad</w:t>
                </w:r>
              </w:p>
            </w:tc>
          </w:tr>
          <w:tr w:rsidR="00904B69" w14:paraId="46E0CBCF" w14:textId="77777777">
            <w:tc>
              <w:tcPr>
                <w:tcW w:w="6010" w:type="dxa"/>
              </w:tcPr>
              <w:p w14:paraId="31EF5D73" w14:textId="77777777" w:rsidR="00904B69" w:rsidRDefault="00904B69">
                <w:pPr>
                  <w:pStyle w:val="NaampatroonRegular"/>
                </w:pPr>
                <w:r>
                  <w:rPr>
                    <w:b/>
                  </w:rPr>
                  <w:t>Gemeenteblad</w:t>
                </w:r>
              </w:p>
            </w:tc>
          </w:tr>
          <w:tr w:rsidR="00904B69" w14:paraId="0EE461CC" w14:textId="77777777">
            <w:tc>
              <w:tcPr>
                <w:tcW w:w="6010" w:type="dxa"/>
              </w:tcPr>
              <w:p w14:paraId="38F7A588" w14:textId="77777777" w:rsidR="00904B69" w:rsidRDefault="00904B69">
                <w:pPr>
                  <w:pStyle w:val="NaambestuursdocumentRegular"/>
                </w:pPr>
                <w:r>
                  <w:t>Voordracht voor de raadsvergadering van</w:t>
                </w:r>
              </w:p>
              <w:p w14:paraId="0F962A60" w14:textId="77777777" w:rsidR="00904B69" w:rsidRDefault="00904B69">
                <w:pPr>
                  <w:pStyle w:val="NaambestuursdocumentRegular"/>
                  <w:rPr>
                    <w:b w:val="0"/>
                    <w:bCs/>
                  </w:rPr>
                </w:pPr>
                <w:r>
                  <w:rPr>
                    <w:b w:val="0"/>
                    <w:bCs/>
                  </w:rPr>
                  <w:t>&lt;datum raadsvergadering&gt;</w:t>
                </w:r>
              </w:p>
            </w:tc>
          </w:tr>
        </w:tbl>
        <w:p w14:paraId="6A887612" w14:textId="77777777" w:rsidR="00904B69" w:rsidRDefault="00904B69">
          <w:pPr>
            <w:pStyle w:val="Koptekst"/>
          </w:pPr>
        </w:p>
      </w:tc>
      <w:tc>
        <w:tcPr>
          <w:tcW w:w="1361" w:type="dxa"/>
        </w:tcPr>
        <w:p w14:paraId="10267BC4" w14:textId="77777777" w:rsidR="00904B69" w:rsidRDefault="00904B69">
          <w:pPr>
            <w:pStyle w:val="Snelzoekreferentie"/>
          </w:pPr>
          <w:r>
            <w:t>R</w:t>
          </w:r>
        </w:p>
      </w:tc>
    </w:tr>
  </w:tbl>
  <w:p w14:paraId="13B6A6AC" w14:textId="77777777" w:rsidR="00904B69" w:rsidRDefault="00904B69">
    <w:pPr>
      <w:pStyle w:val="Koptekst"/>
    </w:pPr>
  </w:p>
  <w:p w14:paraId="6124C689" w14:textId="77777777" w:rsidR="00904B69" w:rsidRDefault="00904B6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64D29"/>
    <w:multiLevelType w:val="hybridMultilevel"/>
    <w:tmpl w:val="E2E2BEA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34F26127"/>
    <w:multiLevelType w:val="hybridMultilevel"/>
    <w:tmpl w:val="12E67356"/>
    <w:lvl w:ilvl="0" w:tplc="4F0CD46C">
      <w:start w:val="1"/>
      <w:numFmt w:val="upperRoman"/>
      <w:lvlText w:val="%1."/>
      <w:lvlJc w:val="right"/>
      <w:pPr>
        <w:tabs>
          <w:tab w:val="num" w:pos="464"/>
        </w:tabs>
        <w:ind w:left="464" w:hanging="180"/>
      </w:pPr>
      <w:rPr>
        <w:rFonts w:hint="default"/>
      </w:r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2">
    <w:nsid w:val="3B90337A"/>
    <w:multiLevelType w:val="hybridMultilevel"/>
    <w:tmpl w:val="11F405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28C1D55"/>
    <w:multiLevelType w:val="hybridMultilevel"/>
    <w:tmpl w:val="ECA053D2"/>
    <w:lvl w:ilvl="0" w:tplc="5538D2B2">
      <w:start w:val="1"/>
      <w:numFmt w:val="decimal"/>
      <w:lvlText w:val="%1."/>
      <w:lvlJc w:val="left"/>
      <w:pPr>
        <w:tabs>
          <w:tab w:val="num" w:pos="340"/>
        </w:tabs>
        <w:ind w:left="340" w:hanging="3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536E793A"/>
    <w:multiLevelType w:val="hybridMultilevel"/>
    <w:tmpl w:val="0DB2CA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01304BB"/>
    <w:multiLevelType w:val="hybridMultilevel"/>
    <w:tmpl w:val="3CE6A47E"/>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0D63E0A"/>
    <w:multiLevelType w:val="hybridMultilevel"/>
    <w:tmpl w:val="8E3CFAA8"/>
    <w:lvl w:ilvl="0" w:tplc="0413000F">
      <w:start w:val="1"/>
      <w:numFmt w:val="decimal"/>
      <w:lvlText w:val="%1."/>
      <w:lvlJc w:val="left"/>
      <w:pPr>
        <w:tabs>
          <w:tab w:val="num" w:pos="360"/>
        </w:tabs>
        <w:ind w:left="360" w:hanging="360"/>
      </w:p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7">
    <w:nsid w:val="654973C7"/>
    <w:multiLevelType w:val="hybridMultilevel"/>
    <w:tmpl w:val="DEE463E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6B95075E"/>
    <w:multiLevelType w:val="hybridMultilevel"/>
    <w:tmpl w:val="04C41802"/>
    <w:lvl w:ilvl="0" w:tplc="52F2689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C1F29E7"/>
    <w:multiLevelType w:val="hybridMultilevel"/>
    <w:tmpl w:val="749261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4D610CF"/>
    <w:multiLevelType w:val="hybridMultilevel"/>
    <w:tmpl w:val="1E8C4F1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7"/>
  </w:num>
  <w:num w:numId="4">
    <w:abstractNumId w:val="0"/>
  </w:num>
  <w:num w:numId="5">
    <w:abstractNumId w:val="1"/>
  </w:num>
  <w:num w:numId="6">
    <w:abstractNumId w:val="3"/>
  </w:num>
  <w:num w:numId="7">
    <w:abstractNumId w:val="8"/>
  </w:num>
  <w:num w:numId="8">
    <w:abstractNumId w:val="4"/>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l-NL"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645"/>
    <w:rsid w:val="000306C2"/>
    <w:rsid w:val="000A1B02"/>
    <w:rsid w:val="000B33FF"/>
    <w:rsid w:val="000E5071"/>
    <w:rsid w:val="000F21F3"/>
    <w:rsid w:val="0012125F"/>
    <w:rsid w:val="001C294E"/>
    <w:rsid w:val="001D2FF3"/>
    <w:rsid w:val="001F1A51"/>
    <w:rsid w:val="0022112B"/>
    <w:rsid w:val="00231C2B"/>
    <w:rsid w:val="00233330"/>
    <w:rsid w:val="00236D9E"/>
    <w:rsid w:val="00251AEC"/>
    <w:rsid w:val="002945A5"/>
    <w:rsid w:val="002C28C6"/>
    <w:rsid w:val="002D78DA"/>
    <w:rsid w:val="002E4320"/>
    <w:rsid w:val="002F4FAB"/>
    <w:rsid w:val="0036395B"/>
    <w:rsid w:val="00372FC3"/>
    <w:rsid w:val="004573B7"/>
    <w:rsid w:val="004618F0"/>
    <w:rsid w:val="00462813"/>
    <w:rsid w:val="0049035C"/>
    <w:rsid w:val="004975EF"/>
    <w:rsid w:val="004A0CBF"/>
    <w:rsid w:val="004D7C06"/>
    <w:rsid w:val="004E0FC3"/>
    <w:rsid w:val="004E690B"/>
    <w:rsid w:val="00503085"/>
    <w:rsid w:val="00582BDA"/>
    <w:rsid w:val="005A08F6"/>
    <w:rsid w:val="00617645"/>
    <w:rsid w:val="00627533"/>
    <w:rsid w:val="006446F6"/>
    <w:rsid w:val="00645644"/>
    <w:rsid w:val="006B2AFF"/>
    <w:rsid w:val="006D6E6E"/>
    <w:rsid w:val="006F130C"/>
    <w:rsid w:val="00706DC9"/>
    <w:rsid w:val="00715133"/>
    <w:rsid w:val="00727968"/>
    <w:rsid w:val="00786036"/>
    <w:rsid w:val="00791580"/>
    <w:rsid w:val="007A03DE"/>
    <w:rsid w:val="007A6AE8"/>
    <w:rsid w:val="007D523D"/>
    <w:rsid w:val="007E5CE9"/>
    <w:rsid w:val="008022BA"/>
    <w:rsid w:val="00804B4D"/>
    <w:rsid w:val="00813589"/>
    <w:rsid w:val="00817E41"/>
    <w:rsid w:val="008527A3"/>
    <w:rsid w:val="0087084F"/>
    <w:rsid w:val="00880A18"/>
    <w:rsid w:val="00883E12"/>
    <w:rsid w:val="008942F2"/>
    <w:rsid w:val="008C7DCD"/>
    <w:rsid w:val="008D7B15"/>
    <w:rsid w:val="008F6650"/>
    <w:rsid w:val="00904B69"/>
    <w:rsid w:val="00964DD5"/>
    <w:rsid w:val="009B54B9"/>
    <w:rsid w:val="009B723E"/>
    <w:rsid w:val="009C29F7"/>
    <w:rsid w:val="009F06E3"/>
    <w:rsid w:val="00A16BCD"/>
    <w:rsid w:val="00A25332"/>
    <w:rsid w:val="00A475D4"/>
    <w:rsid w:val="00A55996"/>
    <w:rsid w:val="00A6101B"/>
    <w:rsid w:val="00A63150"/>
    <w:rsid w:val="00A922D3"/>
    <w:rsid w:val="00AE03E6"/>
    <w:rsid w:val="00AE7D3C"/>
    <w:rsid w:val="00AF1A9B"/>
    <w:rsid w:val="00B126A1"/>
    <w:rsid w:val="00B55BBC"/>
    <w:rsid w:val="00B64173"/>
    <w:rsid w:val="00B64416"/>
    <w:rsid w:val="00B73D6C"/>
    <w:rsid w:val="00B96B31"/>
    <w:rsid w:val="00B97E96"/>
    <w:rsid w:val="00BA5EF0"/>
    <w:rsid w:val="00BB497E"/>
    <w:rsid w:val="00BD59DA"/>
    <w:rsid w:val="00BE0689"/>
    <w:rsid w:val="00BE19D9"/>
    <w:rsid w:val="00C026A2"/>
    <w:rsid w:val="00C40CF0"/>
    <w:rsid w:val="00C40DC3"/>
    <w:rsid w:val="00C51023"/>
    <w:rsid w:val="00C708E2"/>
    <w:rsid w:val="00C72A5E"/>
    <w:rsid w:val="00CA652E"/>
    <w:rsid w:val="00CE16EE"/>
    <w:rsid w:val="00CE50E1"/>
    <w:rsid w:val="00CE5D7A"/>
    <w:rsid w:val="00CE5F73"/>
    <w:rsid w:val="00CF07DC"/>
    <w:rsid w:val="00D1399F"/>
    <w:rsid w:val="00D569A5"/>
    <w:rsid w:val="00D979B2"/>
    <w:rsid w:val="00DB16DD"/>
    <w:rsid w:val="00DC201C"/>
    <w:rsid w:val="00E12E6A"/>
    <w:rsid w:val="00E82D76"/>
    <w:rsid w:val="00E86D85"/>
    <w:rsid w:val="00EB3F2D"/>
    <w:rsid w:val="00EF087B"/>
    <w:rsid w:val="00F13FE8"/>
    <w:rsid w:val="00F31ED7"/>
    <w:rsid w:val="00F53457"/>
    <w:rsid w:val="00F93BF0"/>
    <w:rsid w:val="00FA3095"/>
    <w:rsid w:val="00FB1162"/>
    <w:rsid w:val="00FC04B4"/>
    <w:rsid w:val="00FD23B0"/>
    <w:rsid w:val="00FE0EB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ED49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1A51"/>
    <w:pPr>
      <w:spacing w:line="270" w:lineRule="exact"/>
    </w:pPr>
    <w:rPr>
      <w:rFonts w:ascii="Arial" w:hAnsi="Arial"/>
      <w:sz w:val="21"/>
      <w:szCs w:val="24"/>
    </w:rPr>
  </w:style>
  <w:style w:type="paragraph" w:styleId="Kop1">
    <w:name w:val="heading 1"/>
    <w:basedOn w:val="Standaard"/>
    <w:next w:val="Standaard"/>
    <w:qFormat/>
    <w:pPr>
      <w:keepNext/>
      <w:outlineLvl w:val="0"/>
    </w:pPr>
    <w:rPr>
      <w:b/>
      <w:bCs/>
      <w:sz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153"/>
        <w:tab w:val="right" w:pos="8306"/>
      </w:tabs>
      <w:spacing w:line="240" w:lineRule="auto"/>
    </w:pPr>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customStyle="1" w:styleId="Opzoekgegevens">
    <w:name w:val="Opzoekgegevens"/>
    <w:basedOn w:val="Standaard"/>
    <w:pPr>
      <w:spacing w:line="190" w:lineRule="exact"/>
    </w:pPr>
    <w:rPr>
      <w:sz w:val="16"/>
    </w:rPr>
  </w:style>
  <w:style w:type="paragraph" w:customStyle="1" w:styleId="NaampatroonBold">
    <w:name w:val="Naampatroon Bold"/>
    <w:basedOn w:val="Standaard"/>
    <w:pPr>
      <w:spacing w:line="240" w:lineRule="exact"/>
    </w:pPr>
    <w:rPr>
      <w:b/>
      <w:sz w:val="16"/>
    </w:rPr>
  </w:style>
  <w:style w:type="paragraph" w:customStyle="1" w:styleId="NaambestuursdocumentBold">
    <w:name w:val="Naam bestuursdocument Bold"/>
    <w:basedOn w:val="Standaard"/>
    <w:pPr>
      <w:spacing w:line="380" w:lineRule="exact"/>
    </w:pPr>
    <w:rPr>
      <w:b/>
      <w:sz w:val="24"/>
    </w:rPr>
  </w:style>
  <w:style w:type="paragraph" w:customStyle="1" w:styleId="Snelzoekreferentie">
    <w:name w:val="Snelzoekreferentie"/>
    <w:basedOn w:val="Standaard"/>
    <w:pPr>
      <w:spacing w:line="240" w:lineRule="auto"/>
      <w:jc w:val="right"/>
    </w:pPr>
    <w:rPr>
      <w:b/>
      <w:sz w:val="46"/>
    </w:rPr>
  </w:style>
  <w:style w:type="paragraph" w:customStyle="1" w:styleId="ReferentiegegevensRegular">
    <w:name w:val="Referentiegegevens Regular"/>
    <w:basedOn w:val="Standaard"/>
    <w:rPr>
      <w:sz w:val="16"/>
    </w:rPr>
  </w:style>
  <w:style w:type="paragraph" w:customStyle="1" w:styleId="ReferentiegegevensBold">
    <w:name w:val="Referentiegegevens Bold"/>
    <w:basedOn w:val="Standaard"/>
    <w:rPr>
      <w:b/>
      <w:sz w:val="16"/>
    </w:rPr>
  </w:style>
  <w:style w:type="paragraph" w:customStyle="1" w:styleId="Kopmetlijn">
    <w:name w:val="Kop met lijn"/>
    <w:basedOn w:val="Standaard"/>
    <w:pPr>
      <w:spacing w:line="240" w:lineRule="exact"/>
    </w:pPr>
    <w:rPr>
      <w:b/>
      <w:sz w:val="17"/>
    </w:rPr>
  </w:style>
  <w:style w:type="paragraph" w:customStyle="1" w:styleId="Documentcode">
    <w:name w:val="Documentcode"/>
    <w:basedOn w:val="Standaard"/>
    <w:rPr>
      <w:sz w:val="10"/>
    </w:rPr>
  </w:style>
  <w:style w:type="paragraph" w:customStyle="1" w:styleId="NaampatroonRegular">
    <w:name w:val="Naampatroon Regular"/>
    <w:basedOn w:val="Koptekst"/>
    <w:pPr>
      <w:spacing w:line="240" w:lineRule="exact"/>
    </w:pPr>
    <w:rPr>
      <w:sz w:val="16"/>
    </w:rPr>
  </w:style>
  <w:style w:type="paragraph" w:customStyle="1" w:styleId="Witregel">
    <w:name w:val="Witregel"/>
    <w:basedOn w:val="Standaard"/>
    <w:pPr>
      <w:spacing w:line="360" w:lineRule="auto"/>
    </w:pPr>
  </w:style>
  <w:style w:type="paragraph" w:customStyle="1" w:styleId="NaambestuursdocumentRegular">
    <w:name w:val="Naam bestuursdocument Regular"/>
    <w:basedOn w:val="Standaard"/>
    <w:autoRedefine/>
    <w:pPr>
      <w:spacing w:line="380" w:lineRule="exact"/>
    </w:pPr>
    <w:rPr>
      <w:b/>
      <w:sz w:val="24"/>
    </w:rPr>
  </w:style>
  <w:style w:type="character" w:styleId="Verwijzingopmerking">
    <w:name w:val="annotation reference"/>
    <w:semiHidden/>
    <w:rPr>
      <w:sz w:val="16"/>
      <w:szCs w:val="16"/>
    </w:rPr>
  </w:style>
  <w:style w:type="paragraph" w:styleId="Tekstopmerking">
    <w:name w:val="annotation text"/>
    <w:basedOn w:val="Standaard"/>
    <w:semiHidden/>
    <w:rPr>
      <w:sz w:val="20"/>
      <w:szCs w:val="20"/>
    </w:rPr>
  </w:style>
  <w:style w:type="paragraph" w:styleId="Onderwerpvanopmerking">
    <w:name w:val="annotation subject"/>
    <w:basedOn w:val="Tekstopmerking"/>
    <w:next w:val="Tekstopmerking"/>
    <w:semiHidden/>
    <w:rPr>
      <w:b/>
      <w:bCs/>
    </w:rPr>
  </w:style>
  <w:style w:type="paragraph" w:styleId="Ballontekst">
    <w:name w:val="Balloon Text"/>
    <w:basedOn w:val="Standaard"/>
    <w:semiHidden/>
    <w:rPr>
      <w:rFonts w:ascii="Tahoma" w:hAnsi="Tahoma" w:cs="Tahoma"/>
      <w:sz w:val="16"/>
      <w:szCs w:val="16"/>
    </w:rPr>
  </w:style>
  <w:style w:type="paragraph" w:customStyle="1" w:styleId="Griffiedatumenagendapunt">
    <w:name w:val="Griffie datum en agendapunt"/>
    <w:basedOn w:val="ReferentiegegevensBold"/>
    <w:pPr>
      <w:widowControl w:val="0"/>
    </w:pPr>
    <w:rPr>
      <w:sz w:val="20"/>
    </w:rPr>
  </w:style>
  <w:style w:type="paragraph" w:styleId="HTML-voorafopgemaakt">
    <w:name w:val="HTML Preformatted"/>
    <w:basedOn w:val="Standaard"/>
    <w:rsid w:val="002D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table" w:styleId="Tabelraster">
    <w:name w:val="Table Grid"/>
    <w:basedOn w:val="Standaardtabel"/>
    <w:rsid w:val="002D7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78DA"/>
    <w:rPr>
      <w:color w:val="0000FF"/>
      <w:u w:val="single"/>
    </w:rPr>
  </w:style>
  <w:style w:type="paragraph" w:styleId="Voetnoottekst">
    <w:name w:val="footnote text"/>
    <w:basedOn w:val="Standaard"/>
    <w:link w:val="VoetnoottekstChar"/>
    <w:semiHidden/>
    <w:rsid w:val="002D78DA"/>
    <w:rPr>
      <w:sz w:val="20"/>
      <w:szCs w:val="20"/>
    </w:rPr>
  </w:style>
  <w:style w:type="character" w:styleId="Voetnootmarkering">
    <w:name w:val="footnote reference"/>
    <w:semiHidden/>
    <w:rsid w:val="002D78DA"/>
    <w:rPr>
      <w:vertAlign w:val="superscript"/>
    </w:rPr>
  </w:style>
  <w:style w:type="character" w:customStyle="1" w:styleId="VoetnoottekstChar">
    <w:name w:val="Voetnoottekst Char"/>
    <w:link w:val="Voetnoottekst"/>
    <w:rsid w:val="004975EF"/>
    <w:rPr>
      <w:rFonts w:ascii="Arial" w:hAnsi="Arial"/>
      <w:lang w:val="nl-NL" w:eastAsia="nl-NL" w:bidi="ar-SA"/>
    </w:rPr>
  </w:style>
  <w:style w:type="paragraph" w:customStyle="1" w:styleId="Gemiddeldraster1-accent21">
    <w:name w:val="Gemiddeld raster 1 - accent 21"/>
    <w:basedOn w:val="Standaard"/>
    <w:qFormat/>
    <w:rsid w:val="004975EF"/>
    <w:pPr>
      <w:spacing w:line="240" w:lineRule="auto"/>
      <w:ind w:left="720"/>
      <w:contextualSpacing/>
    </w:pPr>
    <w:rPr>
      <w:rFonts w:ascii="Cambria" w:eastAsia="Cambria" w:hAnsi="Cambria"/>
      <w:sz w:val="24"/>
      <w:lang w:eastAsia="en-US"/>
    </w:rPr>
  </w:style>
  <w:style w:type="character" w:customStyle="1" w:styleId="FootnoteTextChar">
    <w:name w:val="Footnote Text Char"/>
    <w:semiHidden/>
    <w:locked/>
    <w:rsid w:val="0012125F"/>
    <w:rPr>
      <w:rFonts w:cs="Times New Roman"/>
      <w:sz w:val="20"/>
      <w:szCs w:val="20"/>
      <w:lang w:val="nl-NL" w:eastAsia="nl-NL"/>
    </w:rPr>
  </w:style>
  <w:style w:type="paragraph" w:styleId="Lijstalinea">
    <w:name w:val="List Paragraph"/>
    <w:basedOn w:val="Standaard"/>
    <w:uiPriority w:val="34"/>
    <w:qFormat/>
    <w:rsid w:val="00804B4D"/>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Andreas\DocGen\TEMPLATES\Andreas\FLAP\RaadTB.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24BB6-D67D-40D3-ACC6-5CD6F2EE8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RaadTB</Template>
  <TotalTime>7</TotalTime>
  <Pages>1</Pages>
  <Words>2165</Words>
  <Characters>11909</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Jaar</vt:lpstr>
    </vt:vector>
  </TitlesOfParts>
  <Company>Cap Gemini Ernst &amp; Young</Company>
  <LinksUpToDate>false</LinksUpToDate>
  <CharactersWithSpaces>14046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dc:title>
  <dc:creator>SYSTEM</dc:creator>
  <cp:lastModifiedBy>Dennis</cp:lastModifiedBy>
  <cp:revision>4</cp:revision>
  <cp:lastPrinted>2009-09-16T13:51:00Z</cp:lastPrinted>
  <dcterms:created xsi:type="dcterms:W3CDTF">2015-04-17T10:59:00Z</dcterms:created>
  <dcterms:modified xsi:type="dcterms:W3CDTF">2015-04-17T11:00:00Z</dcterms:modified>
</cp:coreProperties>
</file>